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D27" w:rsidRDefault="00C831E1">
      <w:pPr>
        <w:pStyle w:val="affffffb"/>
        <w:framePr w:wrap="around"/>
      </w:pPr>
      <w:bookmarkStart w:id="0" w:name="_GoBack"/>
      <w:bookmarkEnd w:id="0"/>
      <w:r>
        <w:rPr>
          <w:rFonts w:ascii="Times New Roman"/>
        </w:rPr>
        <w:t>ICS</w:t>
      </w:r>
      <w:r>
        <w:t> </w:t>
      </w:r>
      <w:r>
        <w:t>27.120</w:t>
      </w:r>
    </w:p>
    <w:p w:rsidR="00237D27" w:rsidRDefault="00C831E1">
      <w:pPr>
        <w:pStyle w:val="affffffb"/>
        <w:framePr w:wrap="around"/>
      </w:pPr>
      <w:bookmarkStart w:id="1" w:name="WXFLH"/>
      <w:r>
        <w:rPr>
          <w:rFonts w:ascii="Times New Roman"/>
        </w:rPr>
        <w:t>CCS</w:t>
      </w:r>
      <w:r>
        <w:rPr>
          <w:rFonts w:ascii="Times New Roman" w:hint="eastAsia"/>
        </w:rPr>
        <w:t xml:space="preserve"> </w:t>
      </w:r>
      <w:r>
        <w:t>P64</w:t>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237D27">
        <w:tc>
          <w:tcPr>
            <w:tcW w:w="9854" w:type="dxa"/>
            <w:tcBorders>
              <w:top w:val="nil"/>
              <w:left w:val="nil"/>
              <w:bottom w:val="nil"/>
              <w:right w:val="nil"/>
            </w:tcBorders>
          </w:tcPr>
          <w:p w:rsidR="00237D27" w:rsidRDefault="00C831E1">
            <w:pPr>
              <w:pStyle w:val="affffffb"/>
              <w:framePr w:wrap="around"/>
            </w:pPr>
            <w:r>
              <w:rPr>
                <w:rFonts w:hint="eastAsia"/>
                <w:noProof/>
              </w:rPr>
              <mc:AlternateContent>
                <mc:Choice Requires="wps">
                  <w:drawing>
                    <wp:anchor distT="0" distB="0" distL="114300" distR="114300" simplePos="0" relativeHeight="251662336" behindDoc="1" locked="0" layoutInCell="1" allowOverlap="1" wp14:anchorId="2506CADD" wp14:editId="10A13856">
                      <wp:simplePos x="0" y="0"/>
                      <wp:positionH relativeFrom="column">
                        <wp:posOffset>-66675</wp:posOffset>
                      </wp:positionH>
                      <wp:positionV relativeFrom="paragraph">
                        <wp:posOffset>0</wp:posOffset>
                      </wp:positionV>
                      <wp:extent cx="866775" cy="198120"/>
                      <wp:effectExtent l="4445" t="3810" r="0" b="0"/>
                      <wp:wrapNone/>
                      <wp:docPr id="8"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oL4RLw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KC+ES8NAgAAIAQAAA4AAAAAAAAAAQAg&#10;AAAAJAEAAGRycy9lMm9Eb2MueG1sUEsFBgAAAAAGAAYAWQEAAKMFAAAAAA==&#10;">
                      <v:fill on="t" focussize="0,0"/>
                      <v:stroke on="f"/>
                      <v:imagedata o:title=""/>
                      <o:lock v:ext="edit" aspectratio="f"/>
                    </v:rect>
                  </w:pict>
                </mc:Fallback>
              </mc:AlternateContent>
            </w:r>
            <w:r>
              <w:rPr>
                <w:rFonts w:hint="eastAsia"/>
              </w:rPr>
              <w:fldChar w:fldCharType="begin">
                <w:ffData>
                  <w:name w:val="BAH"/>
                  <w:enabled/>
                  <w:calcOnExit w:val="0"/>
                  <w:textInput/>
                </w:ffData>
              </w:fldChar>
            </w:r>
            <w:bookmarkStart w:id="2" w:name="BAH"/>
            <w:r>
              <w:rPr>
                <w:rFonts w:hint="eastAsia"/>
              </w:rPr>
              <w:instrText xml:space="preserve"> FORMTEXT </w:instrText>
            </w:r>
            <w:r>
              <w:rPr>
                <w:rFonts w:hint="eastAsia"/>
              </w:rPr>
            </w:r>
            <w:r>
              <w:rPr>
                <w:rFonts w:hint="eastAsia"/>
              </w:rPr>
              <w:fldChar w:fldCharType="separate"/>
            </w:r>
            <w:r>
              <w:rPr>
                <w:rFonts w:hint="eastAsia"/>
              </w:rPr>
              <w:t>     </w:t>
            </w:r>
            <w:r>
              <w:rPr>
                <w:rFonts w:hint="eastAsia"/>
              </w:rPr>
              <w:fldChar w:fldCharType="end"/>
            </w:r>
            <w:bookmarkEnd w:id="2"/>
          </w:p>
        </w:tc>
      </w:tr>
    </w:tbl>
    <w:p w:rsidR="00237D27" w:rsidRDefault="00C831E1">
      <w:pPr>
        <w:pStyle w:val="affffff1"/>
        <w:framePr w:wrap="around" w:y="2026"/>
        <w:rPr>
          <w:sz w:val="72"/>
          <w:szCs w:val="72"/>
        </w:rPr>
      </w:pPr>
      <w:r>
        <w:rPr>
          <w:rFonts w:hint="eastAsia"/>
          <w:sz w:val="72"/>
          <w:szCs w:val="72"/>
        </w:rPr>
        <w:t>团体标准</w:t>
      </w:r>
    </w:p>
    <w:p w:rsidR="00237D27" w:rsidRDefault="00C831E1">
      <w:pPr>
        <w:pStyle w:val="24"/>
        <w:framePr w:wrap="around"/>
      </w:pPr>
      <w:r>
        <w:rPr>
          <w:rFonts w:ascii="Times New Roman" w:hint="eastAsia"/>
        </w:rPr>
        <w:t>T</w:t>
      </w:r>
      <w:r>
        <w:rPr>
          <w:rFonts w:ascii="Times New Roman"/>
        </w:rPr>
        <w:t>/</w:t>
      </w:r>
      <w:r>
        <w:rPr>
          <w:rFonts w:ascii="Times New Roman" w:hint="eastAsia"/>
        </w:rPr>
        <w:t>CNEA</w:t>
      </w:r>
      <w:bookmarkStart w:id="3"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3"/>
      <w:r>
        <w:t>—</w:t>
      </w:r>
      <w:bookmarkStart w:id="4"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237D27">
        <w:tc>
          <w:tcPr>
            <w:tcW w:w="9356" w:type="dxa"/>
            <w:tcBorders>
              <w:top w:val="nil"/>
              <w:left w:val="nil"/>
              <w:bottom w:val="nil"/>
              <w:right w:val="nil"/>
            </w:tcBorders>
          </w:tcPr>
          <w:bookmarkStart w:id="5" w:name="DT"/>
          <w:p w:rsidR="00237D27" w:rsidRDefault="00C831E1">
            <w:pPr>
              <w:pStyle w:val="affffe"/>
              <w:framePr w:wrap="around"/>
            </w:pPr>
            <w:r>
              <w:rPr>
                <w:rFonts w:hint="eastAsia"/>
                <w:noProof/>
              </w:rPr>
              <mc:AlternateContent>
                <mc:Choice Requires="wps">
                  <w:drawing>
                    <wp:anchor distT="0" distB="0" distL="114300" distR="114300" simplePos="0" relativeHeight="251659264" behindDoc="1" locked="0" layoutInCell="1" allowOverlap="1" wp14:anchorId="13FAE9A0" wp14:editId="1BE16350">
                      <wp:simplePos x="0" y="0"/>
                      <wp:positionH relativeFrom="column">
                        <wp:posOffset>4734560</wp:posOffset>
                      </wp:positionH>
                      <wp:positionV relativeFrom="paragraph">
                        <wp:posOffset>34290</wp:posOffset>
                      </wp:positionV>
                      <wp:extent cx="1143000" cy="228600"/>
                      <wp:effectExtent l="0" t="0" r="3175" b="0"/>
                      <wp:wrapNone/>
                      <wp:docPr id="7"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KeLDiwJAgAAIAQAAA4AAAAAAAAAAQAgAAAA&#10;JQEAAGRycy9lMm9Eb2MueG1sUEsFBgAAAAAGAAYAWQEAAKAFAAAAAA==&#10;">
                      <v:fill on="t" focussize="0,0"/>
                      <v:stroke on="f"/>
                      <v:imagedata o:title=""/>
                      <o:lock v:ext="edit" aspectratio="f"/>
                    </v:rect>
                  </w:pict>
                </mc:Fallback>
              </mc:AlternateContent>
            </w:r>
            <w:r>
              <w:rPr>
                <w:rFonts w:hint="eastAsia"/>
              </w:rPr>
              <w:fldChar w:fldCharType="begin">
                <w:ffData>
                  <w:name w:val="DT"/>
                  <w:enabled/>
                  <w:calcOnExit w:val="0"/>
                  <w:entryMacro w:val="ShowHelp4"/>
                  <w:textInput/>
                </w:ffData>
              </w:fldChar>
            </w:r>
            <w:r>
              <w:rPr>
                <w:rFonts w:hint="eastAsia"/>
              </w:rPr>
              <w:instrText xml:space="preserve"> FORMTEXT </w:instrText>
            </w:r>
            <w:r>
              <w:rPr>
                <w:rFonts w:hint="eastAsia"/>
              </w:rPr>
            </w:r>
            <w:r>
              <w:rPr>
                <w:rFonts w:hint="eastAsia"/>
              </w:rPr>
              <w:fldChar w:fldCharType="separate"/>
            </w:r>
            <w:r>
              <w:rPr>
                <w:rFonts w:hint="eastAsia"/>
              </w:rPr>
              <w:t>     </w:t>
            </w:r>
            <w:r>
              <w:rPr>
                <w:rFonts w:hint="eastAsia"/>
              </w:rPr>
              <w:fldChar w:fldCharType="end"/>
            </w:r>
            <w:bookmarkEnd w:id="5"/>
          </w:p>
        </w:tc>
      </w:tr>
    </w:tbl>
    <w:p w:rsidR="00237D27" w:rsidRDefault="00237D27">
      <w:pPr>
        <w:pStyle w:val="24"/>
        <w:framePr w:wrap="around"/>
      </w:pPr>
    </w:p>
    <w:p w:rsidR="00237D27" w:rsidRDefault="00237D27">
      <w:pPr>
        <w:pStyle w:val="24"/>
        <w:framePr w:wrap="around"/>
      </w:pPr>
    </w:p>
    <w:bookmarkStart w:id="6" w:name="StdName"/>
    <w:p w:rsidR="00237D27" w:rsidRDefault="00C831E1">
      <w:pPr>
        <w:pStyle w:val="afffff"/>
        <w:framePr w:h="6141" w:hRule="exact" w:wrap="around" w:x="1163" w:y="4974"/>
      </w:pPr>
      <w:r>
        <w:rPr>
          <w:rFonts w:hint="eastAsia"/>
        </w:rPr>
        <w:fldChar w:fldCharType="begin">
          <w:ffData>
            <w:name w:val="StdName"/>
            <w:enabled/>
            <w:calcOnExit w:val="0"/>
            <w:textInput>
              <w:default w:val="核电工程数据移交规范"/>
            </w:textInput>
          </w:ffData>
        </w:fldChar>
      </w:r>
      <w:r>
        <w:rPr>
          <w:rFonts w:hint="eastAsia"/>
        </w:rPr>
        <w:instrText>FORMTEXT</w:instrText>
      </w:r>
      <w:r>
        <w:rPr>
          <w:rFonts w:hint="eastAsia"/>
        </w:rPr>
      </w:r>
      <w:r>
        <w:rPr>
          <w:rFonts w:hint="eastAsia"/>
        </w:rPr>
        <w:fldChar w:fldCharType="separate"/>
      </w:r>
      <w:r>
        <w:rPr>
          <w:rFonts w:hint="eastAsia"/>
        </w:rPr>
        <w:t>核电工程建设数据治理规范</w:t>
      </w:r>
      <w:r>
        <w:rPr>
          <w:rFonts w:hint="eastAsia"/>
        </w:rPr>
        <w:fldChar w:fldCharType="end"/>
      </w:r>
      <w:bookmarkEnd w:id="6"/>
    </w:p>
    <w:bookmarkStart w:id="7" w:name="StdEnglishName"/>
    <w:p w:rsidR="00237D27" w:rsidRDefault="00C831E1">
      <w:pPr>
        <w:pStyle w:val="afffff0"/>
        <w:framePr w:h="6141" w:hRule="exact" w:wrap="around" w:x="1163" w:y="4974"/>
      </w:pPr>
      <w:r>
        <w:fldChar w:fldCharType="begin">
          <w:ffData>
            <w:name w:val="StdEnglishName"/>
            <w:enabled/>
            <w:calcOnExit w:val="0"/>
            <w:textInput>
              <w:default w:val="Specification for digital handover of nuclear power engineering"/>
            </w:textInput>
          </w:ffData>
        </w:fldChar>
      </w:r>
      <w:r>
        <w:instrText>FORMTEXT</w:instrText>
      </w:r>
      <w:r>
        <w:fldChar w:fldCharType="separate"/>
      </w:r>
      <w:r>
        <w:rPr>
          <w:rFonts w:hint="eastAsia"/>
        </w:rPr>
        <w:t>Data</w:t>
      </w:r>
      <w:r>
        <w:t xml:space="preserve"> </w:t>
      </w:r>
      <w:r>
        <w:rPr>
          <w:rFonts w:hint="eastAsia"/>
        </w:rPr>
        <w:t>governance standard for nuclear power projects</w:t>
      </w:r>
      <w:r>
        <w:fldChar w:fldCharType="end"/>
      </w:r>
      <w:bookmarkEnd w:id="7"/>
    </w:p>
    <w:p w:rsidR="00237D27" w:rsidRDefault="00237D27">
      <w:pPr>
        <w:pStyle w:val="afffff1"/>
        <w:framePr w:h="6141" w:hRule="exact" w:wrap="around" w:x="1163" w:y="4974"/>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237D27">
        <w:tc>
          <w:tcPr>
            <w:tcW w:w="9855" w:type="dxa"/>
            <w:tcBorders>
              <w:top w:val="nil"/>
              <w:left w:val="nil"/>
              <w:bottom w:val="nil"/>
              <w:right w:val="nil"/>
            </w:tcBorders>
          </w:tcPr>
          <w:p w:rsidR="00237D27" w:rsidRDefault="00C831E1">
            <w:pPr>
              <w:pStyle w:val="afffff2"/>
              <w:framePr w:h="6141" w:hRule="exact" w:wrap="around" w:x="1163" w:y="4974"/>
            </w:pPr>
            <w:r>
              <w:rPr>
                <w:noProof/>
              </w:rPr>
              <mc:AlternateContent>
                <mc:Choice Requires="wps">
                  <w:drawing>
                    <wp:anchor distT="0" distB="0" distL="114300" distR="114300" simplePos="0" relativeHeight="251661312" behindDoc="1" locked="1" layoutInCell="1" allowOverlap="1" wp14:anchorId="30ABB2C7" wp14:editId="45F65768">
                      <wp:simplePos x="0" y="0"/>
                      <wp:positionH relativeFrom="column">
                        <wp:posOffset>2200910</wp:posOffset>
                      </wp:positionH>
                      <wp:positionV relativeFrom="paragraph">
                        <wp:posOffset>573405</wp:posOffset>
                      </wp:positionV>
                      <wp:extent cx="1905000" cy="254000"/>
                      <wp:effectExtent l="0" t="3810" r="4445" b="0"/>
                      <wp:wrapNone/>
                      <wp:docPr id="6"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IpMPFQkCAAAgBAAADgAAAAAAAAABACAAAAAk&#10;AQAAZHJzL2Uyb0RvYy54bWxQSwUGAAAAAAYABgBZAQAAnwU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0288" behindDoc="1" locked="0" layoutInCell="1" allowOverlap="1" wp14:anchorId="168405D4" wp14:editId="61E04FB5">
                      <wp:simplePos x="0" y="0"/>
                      <wp:positionH relativeFrom="column">
                        <wp:posOffset>2454910</wp:posOffset>
                      </wp:positionH>
                      <wp:positionV relativeFrom="paragraph">
                        <wp:posOffset>255905</wp:posOffset>
                      </wp:positionV>
                      <wp:extent cx="1270000" cy="304800"/>
                      <wp:effectExtent l="1905" t="635" r="4445" b="0"/>
                      <wp:wrapNone/>
                      <wp:docPr id="5"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LB"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I91JyIJAgAAIAQAAA4AAAAAAAAAAQAgAAAA&#10;JQEAAGRycy9lMm9Eb2MueG1sUEsFBgAAAAAGAAYAWQEAAKAFAAAAAA==&#10;">
                      <v:fill on="t" focussize="0,0"/>
                      <v:stroke on="f"/>
                      <v:imagedata o:title=""/>
                      <o:lock v:ext="edit" aspectratio="f"/>
                    </v:rect>
                  </w:pict>
                </mc:Fallback>
              </mc:AlternateContent>
            </w:r>
            <w:bookmarkStart w:id="8" w:name="LB"/>
            <w:r>
              <w:rPr>
                <w:rFonts w:hint="eastAsia"/>
              </w:rPr>
              <w:t>征求意见稿</w:t>
            </w:r>
            <w:bookmarkEnd w:id="8"/>
          </w:p>
        </w:tc>
      </w:tr>
      <w:bookmarkStart w:id="9" w:name="WCRQ"/>
      <w:tr w:rsidR="00237D27">
        <w:tc>
          <w:tcPr>
            <w:tcW w:w="9855" w:type="dxa"/>
            <w:tcBorders>
              <w:top w:val="nil"/>
              <w:left w:val="nil"/>
              <w:bottom w:val="nil"/>
              <w:right w:val="nil"/>
            </w:tcBorders>
          </w:tcPr>
          <w:p w:rsidR="00237D27" w:rsidRDefault="00C831E1">
            <w:pPr>
              <w:pStyle w:val="afffff3"/>
              <w:framePr w:h="6141" w:hRule="exact" w:wrap="around" w:x="1163" w:y="4974"/>
            </w:pPr>
            <w:r>
              <w:rPr>
                <w:rFonts w:hint="eastAsia"/>
              </w:rPr>
              <w:fldChar w:fldCharType="begin">
                <w:ffData>
                  <w:name w:val="WCRQ"/>
                  <w:enabled/>
                  <w:calcOnExit w:val="0"/>
                  <w:textInput>
                    <w:default w:val="（本稿完成日期：2025.8.20）"/>
                  </w:textInput>
                </w:ffData>
              </w:fldChar>
            </w:r>
            <w:r>
              <w:rPr>
                <w:rFonts w:hint="eastAsia"/>
              </w:rPr>
              <w:instrText>FORMTEXT</w:instrText>
            </w:r>
            <w:r>
              <w:rPr>
                <w:rFonts w:hint="eastAsia"/>
              </w:rPr>
            </w:r>
            <w:r>
              <w:rPr>
                <w:rFonts w:hint="eastAsia"/>
              </w:rPr>
              <w:fldChar w:fldCharType="separate"/>
            </w:r>
            <w:r>
              <w:rPr>
                <w:rFonts w:hint="eastAsia"/>
              </w:rPr>
              <w:t>（本稿完成日期：</w:t>
            </w:r>
            <w:r w:rsidR="000C57B9">
              <w:rPr>
                <w:rFonts w:hint="eastAsia"/>
              </w:rPr>
              <w:t>2026.5.15</w:t>
            </w:r>
            <w:r>
              <w:rPr>
                <w:rFonts w:hint="eastAsia"/>
              </w:rPr>
              <w:t>）</w:t>
            </w:r>
            <w:r>
              <w:rPr>
                <w:rFonts w:hint="eastAsia"/>
              </w:rPr>
              <w:fldChar w:fldCharType="end"/>
            </w:r>
            <w:bookmarkEnd w:id="9"/>
          </w:p>
        </w:tc>
      </w:tr>
    </w:tbl>
    <w:bookmarkStart w:id="10" w:name="FY"/>
    <w:p w:rsidR="00237D27" w:rsidRDefault="00C831E1">
      <w:pPr>
        <w:pStyle w:val="afffffff0"/>
        <w:framePr w:wrap="around" w:hAnchor="page"/>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1"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hint="eastAsia"/>
        </w:rPr>
        <w:t>发布</w:t>
      </w:r>
      <w:r>
        <w:rPr>
          <w:noProof/>
        </w:rPr>
        <mc:AlternateContent>
          <mc:Choice Requires="wps">
            <w:drawing>
              <wp:anchor distT="0" distB="0" distL="114300" distR="114300" simplePos="0" relativeHeight="251663360" behindDoc="0" locked="1" layoutInCell="1" allowOverlap="1" wp14:anchorId="755ECDB5" wp14:editId="51069BBA">
                <wp:simplePos x="0" y="0"/>
                <wp:positionH relativeFrom="column">
                  <wp:posOffset>-635</wp:posOffset>
                </wp:positionH>
                <wp:positionV relativeFrom="page">
                  <wp:posOffset>9251950</wp:posOffset>
                </wp:positionV>
                <wp:extent cx="6120130" cy="0"/>
                <wp:effectExtent l="13970" t="12700" r="9525" b="6350"/>
                <wp:wrapNone/>
                <wp:docPr id="4"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直线 10"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WHazzWAAAACwEAAA8AAAAAAAAAAQAg&#10;AAAAIgAAAGRycy9kb3ducmV2LnhtbFBLAQIUABQAAAAIAIdO4kA2hn8A1wEAAKIDAAAOAAAAAAAA&#10;AAEAIAAAACUBAABkcnMvZTJvRG9jLnhtbFBLBQYAAAAABgAGAFkBAABuBQAAAAA=&#10;">
                <v:fill on="f" focussize="0,0"/>
                <v:stroke color="#000000" joinstyle="round"/>
                <v:imagedata o:title=""/>
                <o:lock v:ext="edit" aspectratio="f"/>
                <w10:anchorlock/>
              </v:line>
            </w:pict>
          </mc:Fallback>
        </mc:AlternateContent>
      </w:r>
    </w:p>
    <w:bookmarkStart w:id="12" w:name="SY"/>
    <w:p w:rsidR="00237D27" w:rsidRDefault="00C831E1">
      <w:pPr>
        <w:pStyle w:val="afffffff1"/>
        <w:framePr w:wrap="around" w:hAnchor="page" w:x="7091"/>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bookmarkStart w:id="13"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bookmarkStart w:id="14"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实施</w:t>
      </w:r>
    </w:p>
    <w:p w:rsidR="00237D27" w:rsidRDefault="00C831E1">
      <w:pPr>
        <w:pStyle w:val="affffff2"/>
        <w:framePr w:wrap="around"/>
      </w:pPr>
      <w:r>
        <w:rPr>
          <w:rFonts w:hint="eastAsia"/>
        </w:rPr>
        <w:t>中国核能行业协会</w:t>
      </w:r>
      <w:r>
        <w:rPr>
          <w:rFonts w:ascii="Cambria Math" w:hAnsi="Cambria Math" w:cs="Cambria Math"/>
        </w:rPr>
        <w:t>   </w:t>
      </w:r>
      <w:r>
        <w:rPr>
          <w:rStyle w:val="affffb"/>
          <w:rFonts w:hint="eastAsia"/>
        </w:rPr>
        <w:t>发布</w:t>
      </w:r>
    </w:p>
    <w:p w:rsidR="00237D27" w:rsidRDefault="00C831E1">
      <w:pPr>
        <w:pStyle w:val="160"/>
        <w:spacing w:before="156" w:after="156"/>
        <w:sectPr w:rsidR="00237D27">
          <w:headerReference w:type="even" r:id="rId11"/>
          <w:footerReference w:type="even" r:id="rId12"/>
          <w:pgSz w:w="11906" w:h="16838"/>
          <w:pgMar w:top="567" w:right="1134" w:bottom="1134" w:left="1417" w:header="0" w:footer="0" w:gutter="0"/>
          <w:pgNumType w:start="1"/>
          <w:cols w:space="720"/>
          <w:docGrid w:type="lines" w:linePitch="312"/>
        </w:sectPr>
      </w:pPr>
      <w:r>
        <w:rPr>
          <w:noProof/>
        </w:rPr>
        <mc:AlternateContent>
          <mc:Choice Requires="wps">
            <w:drawing>
              <wp:anchor distT="0" distB="0" distL="114300" distR="114300" simplePos="0" relativeHeight="251665408" behindDoc="0" locked="0" layoutInCell="1" allowOverlap="1" wp14:anchorId="05911BE5" wp14:editId="2AE7D431">
                <wp:simplePos x="0" y="0"/>
                <wp:positionH relativeFrom="column">
                  <wp:posOffset>-635</wp:posOffset>
                </wp:positionH>
                <wp:positionV relativeFrom="paragraph">
                  <wp:posOffset>8894445</wp:posOffset>
                </wp:positionV>
                <wp:extent cx="6120130" cy="0"/>
                <wp:effectExtent l="13335" t="13970" r="10160" b="5080"/>
                <wp:wrapNone/>
                <wp:docPr id="9"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直线 11" o:spid="_x0000_s1026" o:spt="20" style="position:absolute;left:0pt;margin-left:-0.05pt;margin-top:700.35pt;height:0pt;width:481.9pt;z-index:251665408;mso-width-relative:page;mso-height-relative:page;" filled="f" stroked="t" coordsize="21600,21600" o:gfxdata="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yNWFB1gAAAAsBAAAPAAAAAAAAAAEAIAAA&#10;ACIAAABkcnMvZG93bnJldi54bWxQSwECFAAUAAAACACHTuJAhkdyh9UBAACiAwAADgAAAAAAAAAB&#10;ACAAAAAlAQAAZHJzL2Uyb0RvYy54bWxQSwUGAAAAAAYABgBZAQAAbAU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64384" behindDoc="0" locked="0" layoutInCell="1" allowOverlap="1" wp14:anchorId="1AC437E4" wp14:editId="74A0E25E">
                <wp:simplePos x="0" y="0"/>
                <wp:positionH relativeFrom="column">
                  <wp:posOffset>-635</wp:posOffset>
                </wp:positionH>
                <wp:positionV relativeFrom="paragraph">
                  <wp:posOffset>2339975</wp:posOffset>
                </wp:positionV>
                <wp:extent cx="6120130" cy="0"/>
                <wp:effectExtent l="13335" t="13970" r="10160" b="5080"/>
                <wp:wrapNone/>
                <wp:docPr id="3"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直线 11" o:spid="_x0000_s1026" o:spt="20" style="position:absolute;left:0pt;margin-left:-0.05pt;margin-top:184.25pt;height:0pt;width:481.9pt;z-index:25166438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EJB4l/XAAAACQEAAA8AAAAAAAAAAQAg&#10;AAAAIgAAAGRycy9kb3ducmV2LnhtbFBLAQIUABQAAAAIAIdO4kBmCNRd1gEAAKIDAAAOAAAAAAAA&#10;AAEAIAAAACYBAABkcnMvZTJvRG9jLnhtbFBLBQYAAAAABgAGAFkBAABuBQAAAAA=&#10;">
                <v:fill on="f" focussize="0,0"/>
                <v:stroke color="#000000" joinstyle="round"/>
                <v:imagedata o:title=""/>
                <o:lock v:ext="edit" aspectratio="f"/>
              </v:line>
            </w:pict>
          </mc:Fallback>
        </mc:AlternateContent>
      </w:r>
    </w:p>
    <w:p w:rsidR="00237D27" w:rsidRDefault="00C831E1">
      <w:pPr>
        <w:pStyle w:val="affff0"/>
      </w:pPr>
      <w:bookmarkStart w:id="15" w:name="_Toc31881"/>
      <w:bookmarkStart w:id="16" w:name="_Toc3726"/>
      <w:bookmarkStart w:id="17" w:name="_Toc13649"/>
      <w:bookmarkStart w:id="18" w:name="_Toc140218833"/>
      <w:bookmarkStart w:id="19" w:name="_Toc3480"/>
      <w:r>
        <w:rPr>
          <w:rFonts w:hint="eastAsia"/>
        </w:rPr>
        <w:lastRenderedPageBreak/>
        <w:t>目</w:t>
      </w:r>
      <w:bookmarkStart w:id="20" w:name="BKML"/>
      <w:r>
        <w:rPr>
          <w:rFonts w:hAnsi="黑体"/>
        </w:rPr>
        <w:t>  </w:t>
      </w:r>
      <w:r>
        <w:rPr>
          <w:rFonts w:hint="eastAsia"/>
        </w:rPr>
        <w:t>次</w:t>
      </w:r>
      <w:bookmarkEnd w:id="15"/>
      <w:bookmarkEnd w:id="16"/>
      <w:bookmarkEnd w:id="17"/>
      <w:bookmarkEnd w:id="18"/>
      <w:bookmarkEnd w:id="19"/>
      <w:bookmarkEnd w:id="20"/>
    </w:p>
    <w:p w:rsidR="00237D27" w:rsidRDefault="00C831E1">
      <w:pPr>
        <w:pStyle w:val="10"/>
        <w:tabs>
          <w:tab w:val="clear" w:pos="9241"/>
          <w:tab w:val="right" w:leader="dot" w:pos="9355"/>
        </w:tabs>
        <w:spacing w:before="78" w:after="78"/>
      </w:pPr>
      <w:r>
        <w:fldChar w:fldCharType="begin"/>
      </w:r>
      <w:r>
        <w:instrText xml:space="preserve"> TOC \o "1-3" \h \z \u </w:instrText>
      </w:r>
      <w:r>
        <w:fldChar w:fldCharType="separate"/>
      </w:r>
      <w:hyperlink w:anchor="_Toc20823" w:history="1">
        <w:r>
          <w:rPr>
            <w:rFonts w:hint="eastAsia"/>
          </w:rPr>
          <w:t>前</w:t>
        </w:r>
        <w:r>
          <w:rPr>
            <w:rFonts w:ascii="Cambria Math" w:hAnsi="Cambria Math" w:cs="Cambria Math"/>
          </w:rPr>
          <w:t>  </w:t>
        </w:r>
        <w:r>
          <w:rPr>
            <w:rFonts w:hint="eastAsia"/>
          </w:rPr>
          <w:t>言</w:t>
        </w:r>
        <w:r>
          <w:tab/>
        </w:r>
        <w:r>
          <w:fldChar w:fldCharType="begin"/>
        </w:r>
        <w:r>
          <w:instrText xml:space="preserve"> PAGEREF _Toc20823 \h </w:instrText>
        </w:r>
        <w:r>
          <w:fldChar w:fldCharType="separate"/>
        </w:r>
        <w:r>
          <w:t>III</w:t>
        </w:r>
        <w:r>
          <w:fldChar w:fldCharType="end"/>
        </w:r>
      </w:hyperlink>
    </w:p>
    <w:p w:rsidR="00237D27" w:rsidRDefault="006B690C">
      <w:pPr>
        <w:pStyle w:val="21"/>
        <w:tabs>
          <w:tab w:val="clear" w:pos="9241"/>
          <w:tab w:val="right" w:leader="dot" w:pos="9355"/>
        </w:tabs>
      </w:pPr>
      <w:hyperlink w:anchor="_Toc23942" w:history="1">
        <w:r w:rsidR="00C831E1">
          <w:rPr>
            <w:rFonts w:ascii="黑体" w:eastAsia="黑体" w:hint="eastAsia"/>
          </w:rPr>
          <w:t xml:space="preserve">1 </w:t>
        </w:r>
        <w:r w:rsidR="00C831E1">
          <w:rPr>
            <w:rFonts w:hint="eastAsia"/>
          </w:rPr>
          <w:t>范围</w:t>
        </w:r>
        <w:r w:rsidR="00C831E1">
          <w:tab/>
        </w:r>
        <w:r w:rsidR="00C831E1">
          <w:fldChar w:fldCharType="begin"/>
        </w:r>
        <w:r w:rsidR="00C831E1">
          <w:instrText xml:space="preserve"> PAGEREF _Toc23942 \h </w:instrText>
        </w:r>
        <w:r w:rsidR="00C831E1">
          <w:fldChar w:fldCharType="separate"/>
        </w:r>
        <w:r w:rsidR="00C831E1">
          <w:t>1</w:t>
        </w:r>
        <w:r w:rsidR="00C831E1">
          <w:fldChar w:fldCharType="end"/>
        </w:r>
      </w:hyperlink>
    </w:p>
    <w:p w:rsidR="00237D27" w:rsidRDefault="006B690C">
      <w:pPr>
        <w:pStyle w:val="21"/>
        <w:tabs>
          <w:tab w:val="clear" w:pos="9241"/>
          <w:tab w:val="right" w:leader="dot" w:pos="9355"/>
        </w:tabs>
      </w:pPr>
      <w:hyperlink w:anchor="_Toc18742" w:history="1">
        <w:r w:rsidR="00C831E1">
          <w:rPr>
            <w:rFonts w:ascii="黑体" w:eastAsia="黑体" w:hint="eastAsia"/>
          </w:rPr>
          <w:t xml:space="preserve">2 </w:t>
        </w:r>
        <w:r w:rsidR="00C831E1">
          <w:rPr>
            <w:rFonts w:hint="eastAsia"/>
          </w:rPr>
          <w:t>规范性引用文件</w:t>
        </w:r>
        <w:r w:rsidR="00C831E1">
          <w:tab/>
        </w:r>
        <w:r w:rsidR="00C831E1">
          <w:fldChar w:fldCharType="begin"/>
        </w:r>
        <w:r w:rsidR="00C831E1">
          <w:instrText xml:space="preserve"> PAGEREF _Toc18742 \h </w:instrText>
        </w:r>
        <w:r w:rsidR="00C831E1">
          <w:fldChar w:fldCharType="separate"/>
        </w:r>
        <w:r w:rsidR="00C831E1">
          <w:t>1</w:t>
        </w:r>
        <w:r w:rsidR="00C831E1">
          <w:fldChar w:fldCharType="end"/>
        </w:r>
      </w:hyperlink>
    </w:p>
    <w:p w:rsidR="00237D27" w:rsidRDefault="006B690C">
      <w:pPr>
        <w:pStyle w:val="21"/>
        <w:tabs>
          <w:tab w:val="clear" w:pos="9241"/>
          <w:tab w:val="right" w:leader="dot" w:pos="9355"/>
        </w:tabs>
      </w:pPr>
      <w:hyperlink w:anchor="_Toc30495" w:history="1">
        <w:r w:rsidR="00C831E1">
          <w:rPr>
            <w:rFonts w:ascii="黑体" w:eastAsia="黑体" w:cs="黑体" w:hint="eastAsia"/>
          </w:rPr>
          <w:t xml:space="preserve">3 </w:t>
        </w:r>
        <w:r w:rsidR="00C831E1">
          <w:rPr>
            <w:rFonts w:hAnsi="黑体" w:cs="黑体" w:hint="eastAsia"/>
          </w:rPr>
          <w:t>术语和定义</w:t>
        </w:r>
        <w:r w:rsidR="00C831E1">
          <w:tab/>
        </w:r>
        <w:r w:rsidR="00C831E1">
          <w:fldChar w:fldCharType="begin"/>
        </w:r>
        <w:r w:rsidR="00C831E1">
          <w:instrText xml:space="preserve"> PAGEREF _Toc30495 \h </w:instrText>
        </w:r>
        <w:r w:rsidR="00C831E1">
          <w:fldChar w:fldCharType="separate"/>
        </w:r>
        <w:r w:rsidR="00C831E1">
          <w:t>1</w:t>
        </w:r>
        <w:r w:rsidR="00C831E1">
          <w:fldChar w:fldCharType="end"/>
        </w:r>
      </w:hyperlink>
    </w:p>
    <w:p w:rsidR="00237D27" w:rsidRDefault="006B690C">
      <w:pPr>
        <w:pStyle w:val="30"/>
        <w:tabs>
          <w:tab w:val="clear" w:pos="9241"/>
          <w:tab w:val="right" w:leader="dot" w:pos="9355"/>
        </w:tabs>
        <w:ind w:firstLine="210"/>
      </w:pPr>
      <w:hyperlink w:anchor="_Toc24683" w:history="1">
        <w:r w:rsidR="00C831E1">
          <w:rPr>
            <w:rFonts w:ascii="黑体" w:eastAsia="黑体" w:hAnsi="黑体" w:cs="黑体"/>
            <w:lang w:bidi="zh-CN"/>
            <w14:scene3d>
              <w14:camera w14:prst="orthographicFront"/>
              <w14:lightRig w14:rig="threePt" w14:dir="t">
                <w14:rot w14:lat="0" w14:lon="0" w14:rev="0"/>
              </w14:lightRig>
            </w14:scene3d>
          </w:rPr>
          <w:t xml:space="preserve">3.1 </w:t>
        </w:r>
        <w:r w:rsidR="00C831E1">
          <w:rPr>
            <w:rFonts w:hAnsi="黑体" w:cs="黑体" w:hint="eastAsia"/>
            <w:lang w:bidi="zh-CN"/>
          </w:rPr>
          <w:t>数据</w:t>
        </w:r>
        <w:r w:rsidR="00C831E1">
          <w:tab/>
        </w:r>
        <w:r w:rsidR="00C831E1">
          <w:fldChar w:fldCharType="begin"/>
        </w:r>
        <w:r w:rsidR="00C831E1">
          <w:instrText xml:space="preserve"> PAGEREF _Toc24683 \h </w:instrText>
        </w:r>
        <w:r w:rsidR="00C831E1">
          <w:fldChar w:fldCharType="separate"/>
        </w:r>
        <w:r w:rsidR="00C831E1">
          <w:t>1</w:t>
        </w:r>
        <w:r w:rsidR="00C831E1">
          <w:fldChar w:fldCharType="end"/>
        </w:r>
      </w:hyperlink>
    </w:p>
    <w:p w:rsidR="00237D27" w:rsidRDefault="006B690C">
      <w:pPr>
        <w:pStyle w:val="30"/>
        <w:tabs>
          <w:tab w:val="clear" w:pos="9241"/>
          <w:tab w:val="right" w:leader="dot" w:pos="9355"/>
        </w:tabs>
        <w:ind w:firstLine="210"/>
      </w:pPr>
      <w:hyperlink w:anchor="_Toc14757" w:history="1">
        <w:r w:rsidR="00C831E1">
          <w:rPr>
            <w:rFonts w:ascii="黑体" w:eastAsia="黑体" w:hAnsi="黑体" w:cs="黑体"/>
            <w14:scene3d>
              <w14:camera w14:prst="orthographicFront"/>
              <w14:lightRig w14:rig="threePt" w14:dir="t">
                <w14:rot w14:lat="0" w14:lon="0" w14:rev="0"/>
              </w14:lightRig>
            </w14:scene3d>
          </w:rPr>
          <w:t xml:space="preserve">3.2 </w:t>
        </w:r>
        <w:r w:rsidR="00C831E1">
          <w:rPr>
            <w:rFonts w:hint="eastAsia"/>
          </w:rPr>
          <w:t>设计数据</w:t>
        </w:r>
        <w:r w:rsidR="00C831E1">
          <w:tab/>
        </w:r>
        <w:r w:rsidR="00C831E1">
          <w:fldChar w:fldCharType="begin"/>
        </w:r>
        <w:r w:rsidR="00C831E1">
          <w:instrText xml:space="preserve"> PAGEREF _Toc14757 \h </w:instrText>
        </w:r>
        <w:r w:rsidR="00C831E1">
          <w:fldChar w:fldCharType="separate"/>
        </w:r>
        <w:r w:rsidR="00C831E1">
          <w:t>1</w:t>
        </w:r>
        <w:r w:rsidR="00C831E1">
          <w:fldChar w:fldCharType="end"/>
        </w:r>
      </w:hyperlink>
    </w:p>
    <w:p w:rsidR="00237D27" w:rsidRDefault="006B690C">
      <w:pPr>
        <w:pStyle w:val="30"/>
        <w:tabs>
          <w:tab w:val="clear" w:pos="9241"/>
          <w:tab w:val="right" w:leader="dot" w:pos="9355"/>
        </w:tabs>
        <w:ind w:firstLine="210"/>
      </w:pPr>
      <w:hyperlink w:anchor="_Toc25610" w:history="1">
        <w:r w:rsidR="00C831E1">
          <w:rPr>
            <w:rFonts w:ascii="黑体" w:eastAsia="黑体" w:hAnsi="黑体" w:cs="黑体"/>
            <w14:scene3d>
              <w14:camera w14:prst="orthographicFront"/>
              <w14:lightRig w14:rig="threePt" w14:dir="t">
                <w14:rot w14:lat="0" w14:lon="0" w14:rev="0"/>
              </w14:lightRig>
            </w14:scene3d>
          </w:rPr>
          <w:t xml:space="preserve">3.3 </w:t>
        </w:r>
        <w:r w:rsidR="00C831E1">
          <w:rPr>
            <w:rFonts w:hint="eastAsia"/>
          </w:rPr>
          <w:t>核电工程建设数据</w:t>
        </w:r>
        <w:r w:rsidR="00C831E1">
          <w:tab/>
        </w:r>
        <w:r w:rsidR="00C831E1">
          <w:fldChar w:fldCharType="begin"/>
        </w:r>
        <w:r w:rsidR="00C831E1">
          <w:instrText xml:space="preserve"> PAGEREF _Toc25610 \h </w:instrText>
        </w:r>
        <w:r w:rsidR="00C831E1">
          <w:fldChar w:fldCharType="separate"/>
        </w:r>
        <w:r w:rsidR="00C831E1">
          <w:t>1</w:t>
        </w:r>
        <w:r w:rsidR="00C831E1">
          <w:fldChar w:fldCharType="end"/>
        </w:r>
      </w:hyperlink>
    </w:p>
    <w:p w:rsidR="00237D27" w:rsidRDefault="006B690C">
      <w:pPr>
        <w:pStyle w:val="30"/>
        <w:tabs>
          <w:tab w:val="clear" w:pos="9241"/>
          <w:tab w:val="right" w:leader="dot" w:pos="9355"/>
        </w:tabs>
        <w:ind w:firstLine="210"/>
      </w:pPr>
      <w:hyperlink w:anchor="_Toc8781" w:history="1">
        <w:r w:rsidR="00C831E1">
          <w:rPr>
            <w:rFonts w:ascii="黑体" w:eastAsia="黑体" w:hAnsi="黑体" w:cs="黑体"/>
            <w14:scene3d>
              <w14:camera w14:prst="orthographicFront"/>
              <w14:lightRig w14:rig="threePt" w14:dir="t">
                <w14:rot w14:lat="0" w14:lon="0" w14:rev="0"/>
              </w14:lightRig>
            </w14:scene3d>
          </w:rPr>
          <w:t xml:space="preserve">3.4 </w:t>
        </w:r>
        <w:r w:rsidR="00C831E1">
          <w:rPr>
            <w:rFonts w:hint="eastAsia"/>
          </w:rPr>
          <w:t>数据标准</w:t>
        </w:r>
        <w:r w:rsidR="00C831E1">
          <w:tab/>
        </w:r>
        <w:r w:rsidR="00C831E1">
          <w:fldChar w:fldCharType="begin"/>
        </w:r>
        <w:r w:rsidR="00C831E1">
          <w:instrText xml:space="preserve"> PAGEREF _Toc8781 \h </w:instrText>
        </w:r>
        <w:r w:rsidR="00C831E1">
          <w:fldChar w:fldCharType="separate"/>
        </w:r>
        <w:r w:rsidR="00C831E1">
          <w:t>1</w:t>
        </w:r>
        <w:r w:rsidR="00C831E1">
          <w:fldChar w:fldCharType="end"/>
        </w:r>
      </w:hyperlink>
    </w:p>
    <w:p w:rsidR="00237D27" w:rsidRDefault="006B690C">
      <w:pPr>
        <w:pStyle w:val="30"/>
        <w:tabs>
          <w:tab w:val="clear" w:pos="9241"/>
          <w:tab w:val="right" w:leader="dot" w:pos="9355"/>
        </w:tabs>
        <w:ind w:firstLine="210"/>
      </w:pPr>
      <w:hyperlink w:anchor="_Toc20505" w:history="1">
        <w:r w:rsidR="00C831E1">
          <w:rPr>
            <w:rFonts w:ascii="黑体" w:eastAsia="黑体" w:hAnsi="黑体" w:cs="黑体"/>
            <w14:scene3d>
              <w14:camera w14:prst="orthographicFront"/>
              <w14:lightRig w14:rig="threePt" w14:dir="t">
                <w14:rot w14:lat="0" w14:lon="0" w14:rev="0"/>
              </w14:lightRig>
            </w14:scene3d>
          </w:rPr>
          <w:t xml:space="preserve">3.5 </w:t>
        </w:r>
        <w:r w:rsidR="00C831E1">
          <w:rPr>
            <w:rFonts w:hint="eastAsia"/>
          </w:rPr>
          <w:t>数据服务</w:t>
        </w:r>
        <w:r w:rsidR="00C831E1">
          <w:tab/>
        </w:r>
        <w:r w:rsidR="00C831E1">
          <w:fldChar w:fldCharType="begin"/>
        </w:r>
        <w:r w:rsidR="00C831E1">
          <w:instrText xml:space="preserve"> PAGEREF _Toc20505 \h </w:instrText>
        </w:r>
        <w:r w:rsidR="00C831E1">
          <w:fldChar w:fldCharType="separate"/>
        </w:r>
        <w:r w:rsidR="00C831E1">
          <w:t>1</w:t>
        </w:r>
        <w:r w:rsidR="00C831E1">
          <w:fldChar w:fldCharType="end"/>
        </w:r>
      </w:hyperlink>
    </w:p>
    <w:p w:rsidR="00237D27" w:rsidRDefault="006B690C">
      <w:pPr>
        <w:pStyle w:val="30"/>
        <w:tabs>
          <w:tab w:val="clear" w:pos="9241"/>
          <w:tab w:val="right" w:leader="dot" w:pos="9355"/>
        </w:tabs>
        <w:ind w:firstLine="210"/>
      </w:pPr>
      <w:hyperlink w:anchor="_Toc27173" w:history="1">
        <w:r w:rsidR="00C831E1">
          <w:rPr>
            <w:rFonts w:ascii="黑体" w:eastAsia="黑体" w:hAnsi="黑体" w:cs="黑体"/>
            <w14:scene3d>
              <w14:camera w14:prst="orthographicFront"/>
              <w14:lightRig w14:rig="threePt" w14:dir="t">
                <w14:rot w14:lat="0" w14:lon="0" w14:rev="0"/>
              </w14:lightRig>
            </w14:scene3d>
          </w:rPr>
          <w:t xml:space="preserve">3.6 </w:t>
        </w:r>
        <w:r w:rsidR="00C831E1">
          <w:rPr>
            <w:rFonts w:hint="eastAsia"/>
          </w:rPr>
          <w:t>数据安全管理</w:t>
        </w:r>
        <w:r w:rsidR="00C831E1">
          <w:tab/>
        </w:r>
        <w:r w:rsidR="00C831E1">
          <w:fldChar w:fldCharType="begin"/>
        </w:r>
        <w:r w:rsidR="00C831E1">
          <w:instrText xml:space="preserve"> PAGEREF _Toc27173 \h </w:instrText>
        </w:r>
        <w:r w:rsidR="00C831E1">
          <w:fldChar w:fldCharType="separate"/>
        </w:r>
        <w:r w:rsidR="00C831E1">
          <w:t>2</w:t>
        </w:r>
        <w:r w:rsidR="00C831E1">
          <w:fldChar w:fldCharType="end"/>
        </w:r>
      </w:hyperlink>
    </w:p>
    <w:p w:rsidR="00237D27" w:rsidRDefault="006B690C">
      <w:pPr>
        <w:pStyle w:val="30"/>
        <w:tabs>
          <w:tab w:val="clear" w:pos="9241"/>
          <w:tab w:val="right" w:leader="dot" w:pos="9355"/>
        </w:tabs>
        <w:ind w:firstLine="210"/>
      </w:pPr>
      <w:hyperlink w:anchor="_Toc23077" w:history="1">
        <w:r w:rsidR="00C831E1">
          <w:rPr>
            <w:rFonts w:ascii="黑体" w:eastAsia="黑体" w:hAnsi="黑体" w:cs="黑体"/>
            <w14:scene3d>
              <w14:camera w14:prst="orthographicFront"/>
              <w14:lightRig w14:rig="threePt" w14:dir="t">
                <w14:rot w14:lat="0" w14:lon="0" w14:rev="0"/>
              </w14:lightRig>
            </w14:scene3d>
          </w:rPr>
          <w:t xml:space="preserve">3.7 </w:t>
        </w:r>
        <w:r w:rsidR="00C831E1">
          <w:rPr>
            <w:rFonts w:hint="eastAsia"/>
          </w:rPr>
          <w:t>数据所有者</w:t>
        </w:r>
        <w:r w:rsidR="00C831E1">
          <w:tab/>
        </w:r>
        <w:r w:rsidR="00C831E1">
          <w:fldChar w:fldCharType="begin"/>
        </w:r>
        <w:r w:rsidR="00C831E1">
          <w:instrText xml:space="preserve"> PAGEREF _Toc23077 \h </w:instrText>
        </w:r>
        <w:r w:rsidR="00C831E1">
          <w:fldChar w:fldCharType="separate"/>
        </w:r>
        <w:r w:rsidR="00C831E1">
          <w:t>2</w:t>
        </w:r>
        <w:r w:rsidR="00C831E1">
          <w:fldChar w:fldCharType="end"/>
        </w:r>
      </w:hyperlink>
    </w:p>
    <w:p w:rsidR="00237D27" w:rsidRDefault="006B690C">
      <w:pPr>
        <w:pStyle w:val="30"/>
        <w:tabs>
          <w:tab w:val="clear" w:pos="9241"/>
          <w:tab w:val="right" w:leader="dot" w:pos="9355"/>
        </w:tabs>
        <w:ind w:firstLine="210"/>
      </w:pPr>
      <w:hyperlink w:anchor="_Toc5744" w:history="1">
        <w:r w:rsidR="00C831E1">
          <w:rPr>
            <w:rFonts w:ascii="黑体" w:eastAsia="黑体" w:hAnsi="黑体" w:cs="黑体"/>
            <w14:scene3d>
              <w14:camera w14:prst="orthographicFront"/>
              <w14:lightRig w14:rig="threePt" w14:dir="t">
                <w14:rot w14:lat="0" w14:lon="0" w14:rev="0"/>
              </w14:lightRig>
            </w14:scene3d>
          </w:rPr>
          <w:t xml:space="preserve">3.8 </w:t>
        </w:r>
        <w:r w:rsidR="00C831E1">
          <w:rPr>
            <w:rFonts w:hint="eastAsia"/>
          </w:rPr>
          <w:t>数据资产目录</w:t>
        </w:r>
        <w:r w:rsidR="00C831E1">
          <w:tab/>
        </w:r>
        <w:r w:rsidR="00C831E1">
          <w:fldChar w:fldCharType="begin"/>
        </w:r>
        <w:r w:rsidR="00C831E1">
          <w:instrText xml:space="preserve"> PAGEREF _Toc5744 \h </w:instrText>
        </w:r>
        <w:r w:rsidR="00C831E1">
          <w:fldChar w:fldCharType="separate"/>
        </w:r>
        <w:r w:rsidR="00C831E1">
          <w:t>2</w:t>
        </w:r>
        <w:r w:rsidR="00C831E1">
          <w:fldChar w:fldCharType="end"/>
        </w:r>
      </w:hyperlink>
    </w:p>
    <w:p w:rsidR="00237D27" w:rsidRDefault="006B690C">
      <w:pPr>
        <w:pStyle w:val="30"/>
        <w:tabs>
          <w:tab w:val="clear" w:pos="9241"/>
          <w:tab w:val="right" w:leader="dot" w:pos="9355"/>
        </w:tabs>
        <w:ind w:firstLine="210"/>
      </w:pPr>
      <w:hyperlink w:anchor="_Toc10400" w:history="1">
        <w:r w:rsidR="00C831E1">
          <w:rPr>
            <w:rFonts w:ascii="黑体" w:eastAsia="黑体" w:hAnsi="黑体" w:cs="黑体"/>
            <w14:scene3d>
              <w14:camera w14:prst="orthographicFront"/>
              <w14:lightRig w14:rig="threePt" w14:dir="t">
                <w14:rot w14:lat="0" w14:lon="0" w14:rev="0"/>
              </w14:lightRig>
            </w14:scene3d>
          </w:rPr>
          <w:t xml:space="preserve">3.9 </w:t>
        </w:r>
        <w:r w:rsidR="00C831E1">
          <w:rPr>
            <w:rFonts w:hint="eastAsia"/>
          </w:rPr>
          <w:t>数据资产管理</w:t>
        </w:r>
        <w:r w:rsidR="00C831E1">
          <w:tab/>
        </w:r>
        <w:r w:rsidR="00C831E1">
          <w:fldChar w:fldCharType="begin"/>
        </w:r>
        <w:r w:rsidR="00C831E1">
          <w:instrText xml:space="preserve"> PAGEREF _Toc10400 \h </w:instrText>
        </w:r>
        <w:r w:rsidR="00C831E1">
          <w:fldChar w:fldCharType="separate"/>
        </w:r>
        <w:r w:rsidR="00C831E1">
          <w:t>2</w:t>
        </w:r>
        <w:r w:rsidR="00C831E1">
          <w:fldChar w:fldCharType="end"/>
        </w:r>
      </w:hyperlink>
    </w:p>
    <w:p w:rsidR="00237D27" w:rsidRDefault="006B690C">
      <w:pPr>
        <w:pStyle w:val="21"/>
        <w:tabs>
          <w:tab w:val="clear" w:pos="9241"/>
          <w:tab w:val="right" w:leader="dot" w:pos="9355"/>
        </w:tabs>
      </w:pPr>
      <w:hyperlink w:anchor="_Toc6412" w:history="1">
        <w:r w:rsidR="00C831E1">
          <w:rPr>
            <w:rFonts w:ascii="黑体" w:eastAsia="黑体" w:hint="eastAsia"/>
          </w:rPr>
          <w:t xml:space="preserve">4 </w:t>
        </w:r>
        <w:r w:rsidR="00C831E1">
          <w:rPr>
            <w:rFonts w:hint="eastAsia"/>
          </w:rPr>
          <w:t>总体原则</w:t>
        </w:r>
        <w:r w:rsidR="00C831E1">
          <w:tab/>
        </w:r>
        <w:r w:rsidR="00C831E1">
          <w:fldChar w:fldCharType="begin"/>
        </w:r>
        <w:r w:rsidR="00C831E1">
          <w:instrText xml:space="preserve"> PAGEREF _Toc6412 \h </w:instrText>
        </w:r>
        <w:r w:rsidR="00C831E1">
          <w:fldChar w:fldCharType="separate"/>
        </w:r>
        <w:r w:rsidR="00C831E1">
          <w:t>2</w:t>
        </w:r>
        <w:r w:rsidR="00C831E1">
          <w:fldChar w:fldCharType="end"/>
        </w:r>
      </w:hyperlink>
    </w:p>
    <w:p w:rsidR="00237D27" w:rsidRDefault="006B690C">
      <w:pPr>
        <w:pStyle w:val="30"/>
        <w:tabs>
          <w:tab w:val="clear" w:pos="9241"/>
          <w:tab w:val="right" w:leader="dot" w:pos="9355"/>
        </w:tabs>
        <w:ind w:firstLine="210"/>
      </w:pPr>
      <w:hyperlink w:anchor="_Toc7747" w:history="1">
        <w:r w:rsidR="00C831E1">
          <w:rPr>
            <w:rFonts w:ascii="黑体" w:eastAsia="黑体" w:hAnsi="黑体" w:cs="黑体"/>
            <w14:scene3d>
              <w14:camera w14:prst="orthographicFront"/>
              <w14:lightRig w14:rig="threePt" w14:dir="t">
                <w14:rot w14:lat="0" w14:lon="0" w14:rev="0"/>
              </w14:lightRig>
            </w14:scene3d>
          </w:rPr>
          <w:t xml:space="preserve">4.1 </w:t>
        </w:r>
        <w:r w:rsidR="00C831E1">
          <w:rPr>
            <w:rFonts w:hint="eastAsia"/>
          </w:rPr>
          <w:t>概述</w:t>
        </w:r>
        <w:r w:rsidR="00C831E1">
          <w:tab/>
        </w:r>
        <w:r w:rsidR="00C831E1">
          <w:fldChar w:fldCharType="begin"/>
        </w:r>
        <w:r w:rsidR="00C831E1">
          <w:instrText xml:space="preserve"> PAGEREF _Toc7747 \h </w:instrText>
        </w:r>
        <w:r w:rsidR="00C831E1">
          <w:fldChar w:fldCharType="separate"/>
        </w:r>
        <w:r w:rsidR="00C831E1">
          <w:t>2</w:t>
        </w:r>
        <w:r w:rsidR="00C831E1">
          <w:fldChar w:fldCharType="end"/>
        </w:r>
      </w:hyperlink>
    </w:p>
    <w:p w:rsidR="00237D27" w:rsidRDefault="006B690C">
      <w:pPr>
        <w:pStyle w:val="30"/>
        <w:tabs>
          <w:tab w:val="clear" w:pos="9241"/>
          <w:tab w:val="right" w:leader="dot" w:pos="9355"/>
        </w:tabs>
        <w:ind w:firstLine="210"/>
      </w:pPr>
      <w:hyperlink w:anchor="_Toc26843" w:history="1">
        <w:r w:rsidR="00C831E1">
          <w:rPr>
            <w:rFonts w:ascii="黑体" w:eastAsia="黑体" w:hAnsi="黑体" w:cs="黑体"/>
            <w14:scene3d>
              <w14:camera w14:prst="orthographicFront"/>
              <w14:lightRig w14:rig="threePt" w14:dir="t">
                <w14:rot w14:lat="0" w14:lon="0" w14:rev="0"/>
              </w14:lightRig>
            </w14:scene3d>
          </w:rPr>
          <w:t xml:space="preserve">4.2 </w:t>
        </w:r>
        <w:r w:rsidR="00C831E1">
          <w:rPr>
            <w:rFonts w:hint="eastAsia"/>
          </w:rPr>
          <w:t>目标</w:t>
        </w:r>
        <w:r w:rsidR="00C831E1">
          <w:tab/>
        </w:r>
        <w:r w:rsidR="00C831E1">
          <w:fldChar w:fldCharType="begin"/>
        </w:r>
        <w:r w:rsidR="00C831E1">
          <w:instrText xml:space="preserve"> PAGEREF _Toc26843 \h </w:instrText>
        </w:r>
        <w:r w:rsidR="00C831E1">
          <w:fldChar w:fldCharType="separate"/>
        </w:r>
        <w:r w:rsidR="00C831E1">
          <w:t>2</w:t>
        </w:r>
        <w:r w:rsidR="00C831E1">
          <w:fldChar w:fldCharType="end"/>
        </w:r>
      </w:hyperlink>
    </w:p>
    <w:p w:rsidR="00237D27" w:rsidRDefault="006B690C">
      <w:pPr>
        <w:pStyle w:val="30"/>
        <w:tabs>
          <w:tab w:val="clear" w:pos="9241"/>
          <w:tab w:val="right" w:leader="dot" w:pos="9355"/>
        </w:tabs>
        <w:ind w:firstLine="210"/>
      </w:pPr>
      <w:hyperlink w:anchor="_Toc8524" w:history="1">
        <w:r w:rsidR="00C831E1">
          <w:rPr>
            <w:rFonts w:ascii="黑体" w:eastAsia="黑体" w:hAnsi="黑体" w:cs="黑体"/>
            <w14:scene3d>
              <w14:camera w14:prst="orthographicFront"/>
              <w14:lightRig w14:rig="threePt" w14:dir="t">
                <w14:rot w14:lat="0" w14:lon="0" w14:rev="0"/>
              </w14:lightRig>
            </w14:scene3d>
          </w:rPr>
          <w:t xml:space="preserve">4.3 </w:t>
        </w:r>
        <w:r w:rsidR="00C831E1">
          <w:rPr>
            <w:rFonts w:hint="eastAsia"/>
          </w:rPr>
          <w:t>任务</w:t>
        </w:r>
        <w:r w:rsidR="00C831E1">
          <w:tab/>
        </w:r>
        <w:r w:rsidR="00C831E1">
          <w:fldChar w:fldCharType="begin"/>
        </w:r>
        <w:r w:rsidR="00C831E1">
          <w:instrText xml:space="preserve"> PAGEREF _Toc8524 \h </w:instrText>
        </w:r>
        <w:r w:rsidR="00C831E1">
          <w:fldChar w:fldCharType="separate"/>
        </w:r>
        <w:r w:rsidR="00C831E1">
          <w:t>3</w:t>
        </w:r>
        <w:r w:rsidR="00C831E1">
          <w:fldChar w:fldCharType="end"/>
        </w:r>
      </w:hyperlink>
    </w:p>
    <w:p w:rsidR="00237D27" w:rsidRDefault="006B690C">
      <w:pPr>
        <w:pStyle w:val="21"/>
        <w:tabs>
          <w:tab w:val="clear" w:pos="9241"/>
          <w:tab w:val="right" w:leader="dot" w:pos="9355"/>
        </w:tabs>
      </w:pPr>
      <w:hyperlink w:anchor="_Toc31356" w:history="1">
        <w:r w:rsidR="00C831E1">
          <w:rPr>
            <w:rFonts w:ascii="黑体" w:eastAsia="黑体" w:hint="eastAsia"/>
          </w:rPr>
          <w:t xml:space="preserve">5 </w:t>
        </w:r>
        <w:r w:rsidR="00C831E1">
          <w:rPr>
            <w:rFonts w:hint="eastAsia"/>
          </w:rPr>
          <w:t>数据治理框架</w:t>
        </w:r>
        <w:r w:rsidR="00C831E1">
          <w:tab/>
        </w:r>
        <w:r w:rsidR="00C831E1">
          <w:fldChar w:fldCharType="begin"/>
        </w:r>
        <w:r w:rsidR="00C831E1">
          <w:instrText xml:space="preserve"> PAGEREF _Toc31356 \h </w:instrText>
        </w:r>
        <w:r w:rsidR="00C831E1">
          <w:fldChar w:fldCharType="separate"/>
        </w:r>
        <w:r w:rsidR="00C831E1">
          <w:t>3</w:t>
        </w:r>
        <w:r w:rsidR="00C831E1">
          <w:fldChar w:fldCharType="end"/>
        </w:r>
      </w:hyperlink>
    </w:p>
    <w:p w:rsidR="00237D27" w:rsidRDefault="006B690C">
      <w:pPr>
        <w:pStyle w:val="21"/>
        <w:tabs>
          <w:tab w:val="clear" w:pos="9241"/>
          <w:tab w:val="right" w:leader="dot" w:pos="9355"/>
        </w:tabs>
      </w:pPr>
      <w:hyperlink w:anchor="_Toc17871" w:history="1">
        <w:r w:rsidR="00C831E1">
          <w:rPr>
            <w:rFonts w:ascii="黑体" w:eastAsia="黑体" w:hint="eastAsia"/>
          </w:rPr>
          <w:t xml:space="preserve">6 </w:t>
        </w:r>
        <w:r w:rsidR="00C831E1">
          <w:rPr>
            <w:rFonts w:hint="eastAsia"/>
          </w:rPr>
          <w:t>战略规划</w:t>
        </w:r>
        <w:r w:rsidR="00C831E1">
          <w:tab/>
        </w:r>
        <w:r w:rsidR="00C831E1">
          <w:fldChar w:fldCharType="begin"/>
        </w:r>
        <w:r w:rsidR="00C831E1">
          <w:instrText xml:space="preserve"> PAGEREF _Toc17871 \h </w:instrText>
        </w:r>
        <w:r w:rsidR="00C831E1">
          <w:fldChar w:fldCharType="separate"/>
        </w:r>
        <w:r w:rsidR="00C831E1">
          <w:t>4</w:t>
        </w:r>
        <w:r w:rsidR="00C831E1">
          <w:fldChar w:fldCharType="end"/>
        </w:r>
      </w:hyperlink>
    </w:p>
    <w:p w:rsidR="00237D27" w:rsidRDefault="006B690C">
      <w:pPr>
        <w:pStyle w:val="21"/>
        <w:tabs>
          <w:tab w:val="clear" w:pos="9241"/>
          <w:tab w:val="right" w:leader="dot" w:pos="9355"/>
        </w:tabs>
      </w:pPr>
      <w:hyperlink w:anchor="_Toc994" w:history="1">
        <w:r w:rsidR="00C831E1">
          <w:rPr>
            <w:rFonts w:ascii="黑体" w:eastAsia="黑体" w:hint="eastAsia"/>
          </w:rPr>
          <w:t xml:space="preserve">7 </w:t>
        </w:r>
        <w:r w:rsidR="00C831E1">
          <w:rPr>
            <w:rFonts w:hint="eastAsia"/>
          </w:rPr>
          <w:t>组织构建</w:t>
        </w:r>
        <w:r w:rsidR="00C831E1">
          <w:tab/>
        </w:r>
        <w:r w:rsidR="00C831E1">
          <w:fldChar w:fldCharType="begin"/>
        </w:r>
        <w:r w:rsidR="00C831E1">
          <w:instrText xml:space="preserve"> PAGEREF _Toc994 \h </w:instrText>
        </w:r>
        <w:r w:rsidR="00C831E1">
          <w:fldChar w:fldCharType="separate"/>
        </w:r>
        <w:r w:rsidR="00C831E1">
          <w:t>4</w:t>
        </w:r>
        <w:r w:rsidR="00C831E1">
          <w:fldChar w:fldCharType="end"/>
        </w:r>
      </w:hyperlink>
    </w:p>
    <w:p w:rsidR="00237D27" w:rsidRDefault="006B690C">
      <w:pPr>
        <w:pStyle w:val="30"/>
        <w:tabs>
          <w:tab w:val="clear" w:pos="9241"/>
          <w:tab w:val="right" w:leader="dot" w:pos="9355"/>
        </w:tabs>
        <w:ind w:firstLine="210"/>
      </w:pPr>
      <w:hyperlink w:anchor="_Toc15220" w:history="1">
        <w:r w:rsidR="00C831E1">
          <w:rPr>
            <w:rFonts w:ascii="黑体" w:eastAsia="黑体" w:hAnsi="黑体" w:cs="黑体"/>
            <w:lang w:bidi="zh-CN"/>
            <w14:scene3d>
              <w14:camera w14:prst="orthographicFront"/>
              <w14:lightRig w14:rig="threePt" w14:dir="t">
                <w14:rot w14:lat="0" w14:lon="0" w14:rev="0"/>
              </w14:lightRig>
            </w14:scene3d>
          </w:rPr>
          <w:t xml:space="preserve">7.1 </w:t>
        </w:r>
        <w:r w:rsidR="00C831E1">
          <w:rPr>
            <w:rFonts w:hAnsi="黑体" w:cs="黑体" w:hint="eastAsia"/>
            <w:lang w:bidi="zh-CN"/>
          </w:rPr>
          <w:t>数据治理管理组织构建</w:t>
        </w:r>
        <w:r w:rsidR="00C831E1">
          <w:tab/>
        </w:r>
        <w:r w:rsidR="00C831E1">
          <w:fldChar w:fldCharType="begin"/>
        </w:r>
        <w:r w:rsidR="00C831E1">
          <w:instrText xml:space="preserve"> PAGEREF _Toc15220 \h </w:instrText>
        </w:r>
        <w:r w:rsidR="00C831E1">
          <w:fldChar w:fldCharType="separate"/>
        </w:r>
        <w:r w:rsidR="00C831E1">
          <w:t>4</w:t>
        </w:r>
        <w:r w:rsidR="00C831E1">
          <w:fldChar w:fldCharType="end"/>
        </w:r>
      </w:hyperlink>
    </w:p>
    <w:p w:rsidR="00237D27" w:rsidRDefault="006B690C">
      <w:pPr>
        <w:pStyle w:val="30"/>
        <w:tabs>
          <w:tab w:val="clear" w:pos="9241"/>
          <w:tab w:val="right" w:leader="dot" w:pos="9355"/>
        </w:tabs>
        <w:ind w:firstLine="210"/>
      </w:pPr>
      <w:hyperlink w:anchor="_Toc2440" w:history="1">
        <w:r w:rsidR="00C831E1">
          <w:rPr>
            <w:rFonts w:ascii="黑体" w:eastAsia="黑体" w:hAnsi="黑体" w:cs="黑体"/>
            <w:lang w:bidi="zh-CN"/>
            <w14:scene3d>
              <w14:camera w14:prst="orthographicFront"/>
              <w14:lightRig w14:rig="threePt" w14:dir="t">
                <w14:rot w14:lat="0" w14:lon="0" w14:rev="0"/>
              </w14:lightRig>
            </w14:scene3d>
          </w:rPr>
          <w:t xml:space="preserve">7.2 </w:t>
        </w:r>
        <w:r w:rsidR="00C831E1">
          <w:rPr>
            <w:rFonts w:hAnsi="黑体" w:cs="黑体" w:hint="eastAsia"/>
            <w:lang w:bidi="zh-CN"/>
          </w:rPr>
          <w:t>数据治理角色构建</w:t>
        </w:r>
        <w:r w:rsidR="00C831E1">
          <w:tab/>
        </w:r>
        <w:r w:rsidR="00C831E1">
          <w:fldChar w:fldCharType="begin"/>
        </w:r>
        <w:r w:rsidR="00C831E1">
          <w:instrText xml:space="preserve"> PAGEREF _Toc2440 \h </w:instrText>
        </w:r>
        <w:r w:rsidR="00C831E1">
          <w:fldChar w:fldCharType="separate"/>
        </w:r>
        <w:r w:rsidR="00C831E1">
          <w:t>4</w:t>
        </w:r>
        <w:r w:rsidR="00C831E1">
          <w:fldChar w:fldCharType="end"/>
        </w:r>
      </w:hyperlink>
    </w:p>
    <w:p w:rsidR="00237D27" w:rsidRDefault="006B690C">
      <w:pPr>
        <w:pStyle w:val="21"/>
        <w:tabs>
          <w:tab w:val="clear" w:pos="9241"/>
          <w:tab w:val="right" w:leader="dot" w:pos="9355"/>
        </w:tabs>
      </w:pPr>
      <w:hyperlink w:anchor="_Toc8801" w:history="1">
        <w:r w:rsidR="00C831E1">
          <w:rPr>
            <w:rFonts w:ascii="黑体" w:eastAsia="黑体" w:hint="eastAsia"/>
          </w:rPr>
          <w:t xml:space="preserve">8 </w:t>
        </w:r>
        <w:r w:rsidR="00C831E1">
          <w:rPr>
            <w:rFonts w:hint="eastAsia"/>
          </w:rPr>
          <w:t>架构设计</w:t>
        </w:r>
        <w:r w:rsidR="00C831E1">
          <w:tab/>
        </w:r>
        <w:r w:rsidR="00C831E1">
          <w:fldChar w:fldCharType="begin"/>
        </w:r>
        <w:r w:rsidR="00C831E1">
          <w:instrText xml:space="preserve"> PAGEREF _Toc8801 \h </w:instrText>
        </w:r>
        <w:r w:rsidR="00C831E1">
          <w:fldChar w:fldCharType="separate"/>
        </w:r>
        <w:r w:rsidR="00C831E1">
          <w:t>5</w:t>
        </w:r>
        <w:r w:rsidR="00C831E1">
          <w:fldChar w:fldCharType="end"/>
        </w:r>
      </w:hyperlink>
    </w:p>
    <w:p w:rsidR="00237D27" w:rsidRDefault="006B690C">
      <w:pPr>
        <w:pStyle w:val="30"/>
        <w:tabs>
          <w:tab w:val="clear" w:pos="9241"/>
          <w:tab w:val="right" w:leader="dot" w:pos="9355"/>
        </w:tabs>
        <w:ind w:firstLine="210"/>
      </w:pPr>
      <w:hyperlink w:anchor="_Toc27213" w:history="1">
        <w:r w:rsidR="00C831E1">
          <w:rPr>
            <w:rFonts w:ascii="黑体" w:eastAsia="黑体" w:hAnsi="黑体" w:cs="黑体"/>
            <w:lang w:bidi="zh-CN"/>
            <w14:scene3d>
              <w14:camera w14:prst="orthographicFront"/>
              <w14:lightRig w14:rig="threePt" w14:dir="t">
                <w14:rot w14:lat="0" w14:lon="0" w14:rev="0"/>
              </w14:lightRig>
            </w14:scene3d>
          </w:rPr>
          <w:t xml:space="preserve">8.1 </w:t>
        </w:r>
        <w:r w:rsidR="00C831E1">
          <w:rPr>
            <w:rFonts w:hAnsi="黑体" w:cs="黑体" w:hint="eastAsia"/>
            <w:lang w:bidi="zh-CN"/>
          </w:rPr>
          <w:t>业务架构设计</w:t>
        </w:r>
        <w:r w:rsidR="00C831E1">
          <w:tab/>
        </w:r>
        <w:r w:rsidR="00C831E1">
          <w:fldChar w:fldCharType="begin"/>
        </w:r>
        <w:r w:rsidR="00C831E1">
          <w:instrText xml:space="preserve"> PAGEREF _Toc27213 \h </w:instrText>
        </w:r>
        <w:r w:rsidR="00C831E1">
          <w:fldChar w:fldCharType="separate"/>
        </w:r>
        <w:r w:rsidR="00C831E1">
          <w:t>5</w:t>
        </w:r>
        <w:r w:rsidR="00C831E1">
          <w:fldChar w:fldCharType="end"/>
        </w:r>
      </w:hyperlink>
    </w:p>
    <w:p w:rsidR="00237D27" w:rsidRDefault="006B690C">
      <w:pPr>
        <w:pStyle w:val="30"/>
        <w:tabs>
          <w:tab w:val="clear" w:pos="9241"/>
          <w:tab w:val="right" w:leader="dot" w:pos="9355"/>
        </w:tabs>
        <w:ind w:firstLine="210"/>
      </w:pPr>
      <w:hyperlink w:anchor="_Toc18453" w:history="1">
        <w:r w:rsidR="00C831E1">
          <w:rPr>
            <w:rFonts w:ascii="黑体" w:eastAsia="黑体" w:hAnsi="黑体" w:cs="黑体"/>
            <w:lang w:bidi="zh-CN"/>
            <w14:scene3d>
              <w14:camera w14:prst="orthographicFront"/>
              <w14:lightRig w14:rig="threePt" w14:dir="t">
                <w14:rot w14:lat="0" w14:lon="0" w14:rev="0"/>
              </w14:lightRig>
            </w14:scene3d>
          </w:rPr>
          <w:t xml:space="preserve">8.2 </w:t>
        </w:r>
        <w:r w:rsidR="00C831E1">
          <w:rPr>
            <w:rFonts w:hAnsi="黑体" w:cs="黑体"/>
            <w:lang w:bidi="zh-CN"/>
          </w:rPr>
          <w:t>数据架构</w:t>
        </w:r>
        <w:r w:rsidR="00C831E1">
          <w:rPr>
            <w:rFonts w:hAnsi="黑体" w:cs="黑体" w:hint="eastAsia"/>
            <w:lang w:bidi="zh-CN"/>
          </w:rPr>
          <w:t>设计</w:t>
        </w:r>
        <w:r w:rsidR="00C831E1">
          <w:tab/>
        </w:r>
        <w:r w:rsidR="00C831E1">
          <w:fldChar w:fldCharType="begin"/>
        </w:r>
        <w:r w:rsidR="00C831E1">
          <w:instrText xml:space="preserve"> PAGEREF _Toc18453 \h </w:instrText>
        </w:r>
        <w:r w:rsidR="00C831E1">
          <w:fldChar w:fldCharType="separate"/>
        </w:r>
        <w:r w:rsidR="00C831E1">
          <w:t>5</w:t>
        </w:r>
        <w:r w:rsidR="00C831E1">
          <w:fldChar w:fldCharType="end"/>
        </w:r>
      </w:hyperlink>
    </w:p>
    <w:p w:rsidR="00237D27" w:rsidRDefault="006B690C">
      <w:pPr>
        <w:pStyle w:val="30"/>
        <w:tabs>
          <w:tab w:val="clear" w:pos="9241"/>
          <w:tab w:val="right" w:leader="dot" w:pos="9355"/>
        </w:tabs>
        <w:ind w:firstLine="210"/>
      </w:pPr>
      <w:hyperlink w:anchor="_Toc1862" w:history="1">
        <w:r w:rsidR="00C831E1">
          <w:rPr>
            <w:rFonts w:ascii="黑体" w:eastAsia="黑体" w:hAnsi="黑体" w:cs="黑体"/>
            <w:lang w:bidi="zh-CN"/>
            <w14:scene3d>
              <w14:camera w14:prst="orthographicFront"/>
              <w14:lightRig w14:rig="threePt" w14:dir="t">
                <w14:rot w14:lat="0" w14:lon="0" w14:rev="0"/>
              </w14:lightRig>
            </w14:scene3d>
          </w:rPr>
          <w:t xml:space="preserve">8.3 </w:t>
        </w:r>
        <w:r w:rsidR="00C831E1">
          <w:rPr>
            <w:rFonts w:hAnsi="黑体" w:cs="黑体" w:hint="eastAsia"/>
            <w:lang w:bidi="zh-CN"/>
          </w:rPr>
          <w:t>应用架构设计</w:t>
        </w:r>
        <w:r w:rsidR="00C831E1">
          <w:tab/>
        </w:r>
        <w:r w:rsidR="00C831E1">
          <w:fldChar w:fldCharType="begin"/>
        </w:r>
        <w:r w:rsidR="00C831E1">
          <w:instrText xml:space="preserve"> PAGEREF _Toc1862 \h </w:instrText>
        </w:r>
        <w:r w:rsidR="00C831E1">
          <w:fldChar w:fldCharType="separate"/>
        </w:r>
        <w:r w:rsidR="00C831E1">
          <w:t>5</w:t>
        </w:r>
        <w:r w:rsidR="00C831E1">
          <w:fldChar w:fldCharType="end"/>
        </w:r>
      </w:hyperlink>
    </w:p>
    <w:p w:rsidR="00237D27" w:rsidRDefault="006B690C">
      <w:pPr>
        <w:pStyle w:val="30"/>
        <w:tabs>
          <w:tab w:val="clear" w:pos="9241"/>
          <w:tab w:val="right" w:leader="dot" w:pos="9355"/>
        </w:tabs>
        <w:ind w:firstLine="210"/>
      </w:pPr>
      <w:hyperlink w:anchor="_Toc5253" w:history="1">
        <w:r w:rsidR="00C831E1">
          <w:rPr>
            <w:rFonts w:ascii="黑体" w:eastAsia="黑体" w:hAnsi="黑体" w:cs="黑体"/>
            <w:lang w:bidi="zh-CN"/>
            <w14:scene3d>
              <w14:camera w14:prst="orthographicFront"/>
              <w14:lightRig w14:rig="threePt" w14:dir="t">
                <w14:rot w14:lat="0" w14:lon="0" w14:rev="0"/>
              </w14:lightRig>
            </w14:scene3d>
          </w:rPr>
          <w:t xml:space="preserve">8.4 </w:t>
        </w:r>
        <w:r w:rsidR="00C831E1">
          <w:rPr>
            <w:rFonts w:hAnsi="黑体" w:cs="黑体" w:hint="eastAsia"/>
            <w:lang w:bidi="zh-CN"/>
          </w:rPr>
          <w:t>技术架构设计</w:t>
        </w:r>
        <w:r w:rsidR="00C831E1">
          <w:tab/>
        </w:r>
        <w:r w:rsidR="00C831E1">
          <w:fldChar w:fldCharType="begin"/>
        </w:r>
        <w:r w:rsidR="00C831E1">
          <w:instrText xml:space="preserve"> PAGEREF _Toc5253 \h </w:instrText>
        </w:r>
        <w:r w:rsidR="00C831E1">
          <w:fldChar w:fldCharType="separate"/>
        </w:r>
        <w:r w:rsidR="00C831E1">
          <w:t>5</w:t>
        </w:r>
        <w:r w:rsidR="00C831E1">
          <w:fldChar w:fldCharType="end"/>
        </w:r>
      </w:hyperlink>
    </w:p>
    <w:p w:rsidR="00237D27" w:rsidRDefault="006B690C">
      <w:pPr>
        <w:pStyle w:val="21"/>
        <w:tabs>
          <w:tab w:val="clear" w:pos="9241"/>
          <w:tab w:val="right" w:leader="dot" w:pos="9355"/>
        </w:tabs>
      </w:pPr>
      <w:hyperlink w:anchor="_Toc20230" w:history="1">
        <w:r w:rsidR="00C831E1">
          <w:rPr>
            <w:rFonts w:ascii="黑体" w:eastAsia="黑体" w:hint="eastAsia"/>
          </w:rPr>
          <w:t xml:space="preserve">9 </w:t>
        </w:r>
        <w:r w:rsidR="00C831E1">
          <w:rPr>
            <w:rFonts w:hint="eastAsia"/>
          </w:rPr>
          <w:t>数据治理域</w:t>
        </w:r>
        <w:r w:rsidR="00C831E1">
          <w:tab/>
        </w:r>
        <w:r w:rsidR="00C831E1">
          <w:fldChar w:fldCharType="begin"/>
        </w:r>
        <w:r w:rsidR="00C831E1">
          <w:instrText xml:space="preserve"> PAGEREF _Toc20230 \h </w:instrText>
        </w:r>
        <w:r w:rsidR="00C831E1">
          <w:fldChar w:fldCharType="separate"/>
        </w:r>
        <w:r w:rsidR="00C831E1">
          <w:t>5</w:t>
        </w:r>
        <w:r w:rsidR="00C831E1">
          <w:fldChar w:fldCharType="end"/>
        </w:r>
      </w:hyperlink>
    </w:p>
    <w:p w:rsidR="00237D27" w:rsidRDefault="006B690C">
      <w:pPr>
        <w:pStyle w:val="30"/>
        <w:tabs>
          <w:tab w:val="clear" w:pos="9241"/>
          <w:tab w:val="right" w:leader="dot" w:pos="9355"/>
        </w:tabs>
        <w:ind w:firstLine="210"/>
      </w:pPr>
      <w:hyperlink w:anchor="_Toc28858" w:history="1">
        <w:r w:rsidR="00C831E1">
          <w:rPr>
            <w:rFonts w:ascii="黑体" w:eastAsia="黑体" w:hAnsi="黑体" w:cs="黑体"/>
            <w:lang w:bidi="zh-CN"/>
            <w14:scene3d>
              <w14:camera w14:prst="orthographicFront"/>
              <w14:lightRig w14:rig="threePt" w14:dir="t">
                <w14:rot w14:lat="0" w14:lon="0" w14:rev="0"/>
              </w14:lightRig>
            </w14:scene3d>
          </w:rPr>
          <w:t xml:space="preserve">9.1 </w:t>
        </w:r>
        <w:r w:rsidR="00C831E1">
          <w:rPr>
            <w:rFonts w:hAnsi="黑体" w:cs="黑体" w:hint="eastAsia"/>
            <w:lang w:bidi="zh-CN"/>
          </w:rPr>
          <w:t>数据管理体系</w:t>
        </w:r>
        <w:r w:rsidR="00C831E1">
          <w:tab/>
        </w:r>
        <w:r w:rsidR="00C831E1">
          <w:fldChar w:fldCharType="begin"/>
        </w:r>
        <w:r w:rsidR="00C831E1">
          <w:instrText xml:space="preserve"> PAGEREF _Toc28858 \h </w:instrText>
        </w:r>
        <w:r w:rsidR="00C831E1">
          <w:fldChar w:fldCharType="separate"/>
        </w:r>
        <w:r w:rsidR="00C831E1">
          <w:t>5</w:t>
        </w:r>
        <w:r w:rsidR="00C831E1">
          <w:fldChar w:fldCharType="end"/>
        </w:r>
      </w:hyperlink>
    </w:p>
    <w:p w:rsidR="00237D27" w:rsidRDefault="006B690C">
      <w:pPr>
        <w:pStyle w:val="30"/>
        <w:tabs>
          <w:tab w:val="clear" w:pos="9241"/>
          <w:tab w:val="right" w:leader="dot" w:pos="9355"/>
        </w:tabs>
        <w:ind w:firstLine="210"/>
      </w:pPr>
      <w:hyperlink w:anchor="_Toc28709" w:history="1">
        <w:r w:rsidR="00C831E1">
          <w:rPr>
            <w:rFonts w:ascii="黑体" w:eastAsia="黑体" w:hAnsi="黑体" w:cs="黑体"/>
            <w:lang w:bidi="zh-CN"/>
            <w14:scene3d>
              <w14:camera w14:prst="orthographicFront"/>
              <w14:lightRig w14:rig="threePt" w14:dir="t">
                <w14:rot w14:lat="0" w14:lon="0" w14:rev="0"/>
              </w14:lightRig>
            </w14:scene3d>
          </w:rPr>
          <w:t xml:space="preserve">9.2 </w:t>
        </w:r>
        <w:r w:rsidR="00C831E1">
          <w:rPr>
            <w:rFonts w:hAnsi="黑体" w:cs="黑体" w:hint="eastAsia"/>
            <w:lang w:bidi="zh-CN"/>
          </w:rPr>
          <w:t>数据资产管理体系</w:t>
        </w:r>
        <w:r w:rsidR="00C831E1">
          <w:tab/>
        </w:r>
        <w:r w:rsidR="00C831E1">
          <w:fldChar w:fldCharType="begin"/>
        </w:r>
        <w:r w:rsidR="00C831E1">
          <w:instrText xml:space="preserve"> PAGEREF _Toc28709 \h </w:instrText>
        </w:r>
        <w:r w:rsidR="00C831E1">
          <w:fldChar w:fldCharType="separate"/>
        </w:r>
        <w:r w:rsidR="00C831E1">
          <w:t>6</w:t>
        </w:r>
        <w:r w:rsidR="00C831E1">
          <w:fldChar w:fldCharType="end"/>
        </w:r>
      </w:hyperlink>
    </w:p>
    <w:p w:rsidR="00237D27" w:rsidRDefault="006B690C">
      <w:pPr>
        <w:pStyle w:val="21"/>
        <w:tabs>
          <w:tab w:val="clear" w:pos="9241"/>
          <w:tab w:val="right" w:leader="dot" w:pos="9355"/>
        </w:tabs>
      </w:pPr>
      <w:hyperlink w:anchor="_Toc31678" w:history="1">
        <w:r w:rsidR="00C831E1">
          <w:rPr>
            <w:rFonts w:ascii="黑体" w:eastAsia="黑体" w:hint="eastAsia"/>
          </w:rPr>
          <w:t xml:space="preserve">10 </w:t>
        </w:r>
        <w:r w:rsidR="00C831E1">
          <w:rPr>
            <w:rFonts w:hint="eastAsia"/>
          </w:rPr>
          <w:t>数据治理过程</w:t>
        </w:r>
        <w:r w:rsidR="00C831E1">
          <w:tab/>
        </w:r>
        <w:r w:rsidR="00C831E1">
          <w:fldChar w:fldCharType="begin"/>
        </w:r>
        <w:r w:rsidR="00C831E1">
          <w:instrText xml:space="preserve"> PAGEREF _Toc31678 \h </w:instrText>
        </w:r>
        <w:r w:rsidR="00C831E1">
          <w:fldChar w:fldCharType="separate"/>
        </w:r>
        <w:r w:rsidR="00C831E1">
          <w:t>7</w:t>
        </w:r>
        <w:r w:rsidR="00C831E1">
          <w:fldChar w:fldCharType="end"/>
        </w:r>
      </w:hyperlink>
    </w:p>
    <w:p w:rsidR="00237D27" w:rsidRDefault="006B690C">
      <w:pPr>
        <w:pStyle w:val="30"/>
        <w:tabs>
          <w:tab w:val="clear" w:pos="9241"/>
          <w:tab w:val="right" w:leader="dot" w:pos="9355"/>
        </w:tabs>
        <w:ind w:firstLine="210"/>
      </w:pPr>
      <w:hyperlink w:anchor="_Toc21781" w:history="1">
        <w:r w:rsidR="00C831E1">
          <w:rPr>
            <w:rFonts w:ascii="黑体" w:eastAsia="黑体" w:hAnsi="黑体" w:cs="黑体"/>
            <w:lang w:bidi="zh-CN"/>
            <w14:scene3d>
              <w14:camera w14:prst="orthographicFront"/>
              <w14:lightRig w14:rig="threePt" w14:dir="t">
                <w14:rot w14:lat="0" w14:lon="0" w14:rev="0"/>
              </w14:lightRig>
            </w14:scene3d>
          </w:rPr>
          <w:t xml:space="preserve">10.1 </w:t>
        </w:r>
        <w:r w:rsidR="00C831E1">
          <w:rPr>
            <w:rFonts w:hAnsi="黑体" w:cs="黑体" w:hint="eastAsia"/>
            <w:lang w:bidi="zh-CN"/>
          </w:rPr>
          <w:t>统筹与规划</w:t>
        </w:r>
        <w:r w:rsidR="00C831E1">
          <w:tab/>
        </w:r>
        <w:r w:rsidR="00C831E1">
          <w:fldChar w:fldCharType="begin"/>
        </w:r>
        <w:r w:rsidR="00C831E1">
          <w:instrText xml:space="preserve"> PAGEREF _Toc21781 \h </w:instrText>
        </w:r>
        <w:r w:rsidR="00C831E1">
          <w:fldChar w:fldCharType="separate"/>
        </w:r>
        <w:r w:rsidR="00C831E1">
          <w:t>7</w:t>
        </w:r>
        <w:r w:rsidR="00C831E1">
          <w:fldChar w:fldCharType="end"/>
        </w:r>
      </w:hyperlink>
    </w:p>
    <w:p w:rsidR="00237D27" w:rsidRDefault="006B690C">
      <w:pPr>
        <w:pStyle w:val="30"/>
        <w:tabs>
          <w:tab w:val="clear" w:pos="9241"/>
          <w:tab w:val="right" w:leader="dot" w:pos="9355"/>
        </w:tabs>
        <w:ind w:firstLine="210"/>
      </w:pPr>
      <w:hyperlink w:anchor="_Toc18335" w:history="1">
        <w:r w:rsidR="00C831E1">
          <w:rPr>
            <w:rFonts w:ascii="黑体" w:eastAsia="黑体" w:hAnsi="黑体" w:cs="黑体"/>
            <w:lang w:bidi="zh-CN"/>
            <w14:scene3d>
              <w14:camera w14:prst="orthographicFront"/>
              <w14:lightRig w14:rig="threePt" w14:dir="t">
                <w14:rot w14:lat="0" w14:lon="0" w14:rev="0"/>
              </w14:lightRig>
            </w14:scene3d>
          </w:rPr>
          <w:t xml:space="preserve">10.2 </w:t>
        </w:r>
        <w:r w:rsidR="00C831E1">
          <w:rPr>
            <w:rFonts w:hAnsi="黑体" w:cs="黑体" w:hint="eastAsia"/>
            <w:lang w:bidi="zh-CN"/>
          </w:rPr>
          <w:t>团队与体系建设</w:t>
        </w:r>
        <w:r w:rsidR="00C831E1">
          <w:tab/>
        </w:r>
        <w:r w:rsidR="00C831E1">
          <w:fldChar w:fldCharType="begin"/>
        </w:r>
        <w:r w:rsidR="00C831E1">
          <w:instrText xml:space="preserve"> PAGEREF _Toc18335 \h </w:instrText>
        </w:r>
        <w:r w:rsidR="00C831E1">
          <w:fldChar w:fldCharType="separate"/>
        </w:r>
        <w:r w:rsidR="00C831E1">
          <w:t>7</w:t>
        </w:r>
        <w:r w:rsidR="00C831E1">
          <w:fldChar w:fldCharType="end"/>
        </w:r>
      </w:hyperlink>
    </w:p>
    <w:p w:rsidR="00237D27" w:rsidRDefault="006B690C">
      <w:pPr>
        <w:pStyle w:val="30"/>
        <w:tabs>
          <w:tab w:val="clear" w:pos="9241"/>
          <w:tab w:val="right" w:leader="dot" w:pos="9355"/>
        </w:tabs>
        <w:ind w:firstLine="210"/>
      </w:pPr>
      <w:hyperlink w:anchor="_Toc23425" w:history="1">
        <w:r w:rsidR="00C831E1">
          <w:rPr>
            <w:rFonts w:ascii="黑体" w:eastAsia="黑体" w:hAnsi="黑体" w:cs="黑体"/>
            <w:lang w:bidi="zh-CN"/>
            <w14:scene3d>
              <w14:camera w14:prst="orthographicFront"/>
              <w14:lightRig w14:rig="threePt" w14:dir="t">
                <w14:rot w14:lat="0" w14:lon="0" w14:rev="0"/>
              </w14:lightRig>
            </w14:scene3d>
          </w:rPr>
          <w:t xml:space="preserve">10.3 </w:t>
        </w:r>
        <w:r w:rsidR="00C831E1">
          <w:rPr>
            <w:rFonts w:hAnsi="黑体" w:cs="黑体" w:hint="eastAsia"/>
            <w:lang w:bidi="zh-CN"/>
          </w:rPr>
          <w:t>资产盘点</w:t>
        </w:r>
        <w:r w:rsidR="00C831E1">
          <w:tab/>
        </w:r>
        <w:r w:rsidR="00C831E1">
          <w:fldChar w:fldCharType="begin"/>
        </w:r>
        <w:r w:rsidR="00C831E1">
          <w:instrText xml:space="preserve"> PAGEREF _Toc23425 \h </w:instrText>
        </w:r>
        <w:r w:rsidR="00C831E1">
          <w:fldChar w:fldCharType="separate"/>
        </w:r>
        <w:r w:rsidR="00C831E1">
          <w:t>7</w:t>
        </w:r>
        <w:r w:rsidR="00C831E1">
          <w:fldChar w:fldCharType="end"/>
        </w:r>
      </w:hyperlink>
    </w:p>
    <w:p w:rsidR="00237D27" w:rsidRDefault="006B690C">
      <w:pPr>
        <w:pStyle w:val="30"/>
        <w:tabs>
          <w:tab w:val="clear" w:pos="9241"/>
          <w:tab w:val="right" w:leader="dot" w:pos="9355"/>
        </w:tabs>
        <w:ind w:firstLine="210"/>
      </w:pPr>
      <w:hyperlink w:anchor="_Toc26570" w:history="1">
        <w:r w:rsidR="00C831E1">
          <w:rPr>
            <w:rFonts w:ascii="黑体" w:eastAsia="黑体" w:hAnsi="黑体" w:cs="黑体"/>
            <w:lang w:bidi="zh-CN"/>
            <w14:scene3d>
              <w14:camera w14:prst="orthographicFront"/>
              <w14:lightRig w14:rig="threePt" w14:dir="t">
                <w14:rot w14:lat="0" w14:lon="0" w14:rev="0"/>
              </w14:lightRig>
            </w14:scene3d>
          </w:rPr>
          <w:t xml:space="preserve">10.4 </w:t>
        </w:r>
        <w:r w:rsidR="00C831E1">
          <w:rPr>
            <w:rFonts w:hAnsi="黑体" w:cs="黑体" w:hint="eastAsia"/>
            <w:lang w:bidi="zh-CN"/>
          </w:rPr>
          <w:t>标准制定</w:t>
        </w:r>
        <w:r w:rsidR="00C831E1">
          <w:tab/>
        </w:r>
        <w:r w:rsidR="00C831E1">
          <w:fldChar w:fldCharType="begin"/>
        </w:r>
        <w:r w:rsidR="00C831E1">
          <w:instrText xml:space="preserve"> PAGEREF _Toc26570 \h </w:instrText>
        </w:r>
        <w:r w:rsidR="00C831E1">
          <w:fldChar w:fldCharType="separate"/>
        </w:r>
        <w:r w:rsidR="00C831E1">
          <w:t>8</w:t>
        </w:r>
        <w:r w:rsidR="00C831E1">
          <w:fldChar w:fldCharType="end"/>
        </w:r>
      </w:hyperlink>
    </w:p>
    <w:p w:rsidR="00237D27" w:rsidRDefault="006B690C">
      <w:pPr>
        <w:pStyle w:val="30"/>
        <w:tabs>
          <w:tab w:val="clear" w:pos="9241"/>
          <w:tab w:val="right" w:leader="dot" w:pos="9355"/>
        </w:tabs>
        <w:ind w:firstLine="210"/>
      </w:pPr>
      <w:hyperlink w:anchor="_Toc3022" w:history="1">
        <w:r w:rsidR="00C831E1">
          <w:rPr>
            <w:rFonts w:ascii="黑体" w:eastAsia="黑体" w:hAnsi="黑体" w:cs="黑体"/>
            <w:lang w:bidi="zh-CN"/>
            <w14:scene3d>
              <w14:camera w14:prst="orthographicFront"/>
              <w14:lightRig w14:rig="threePt" w14:dir="t">
                <w14:rot w14:lat="0" w14:lon="0" w14:rev="0"/>
              </w14:lightRig>
            </w14:scene3d>
          </w:rPr>
          <w:t xml:space="preserve">10.5 </w:t>
        </w:r>
        <w:r w:rsidR="00C831E1">
          <w:rPr>
            <w:rFonts w:hAnsi="黑体" w:cs="黑体" w:hint="eastAsia"/>
            <w:lang w:bidi="zh-CN"/>
          </w:rPr>
          <w:t>落地执行</w:t>
        </w:r>
        <w:r w:rsidR="00C831E1">
          <w:tab/>
        </w:r>
        <w:r w:rsidR="00C831E1">
          <w:fldChar w:fldCharType="begin"/>
        </w:r>
        <w:r w:rsidR="00C831E1">
          <w:instrText xml:space="preserve"> PAGEREF _Toc3022 \h </w:instrText>
        </w:r>
        <w:r w:rsidR="00C831E1">
          <w:fldChar w:fldCharType="separate"/>
        </w:r>
        <w:r w:rsidR="00C831E1">
          <w:t>8</w:t>
        </w:r>
        <w:r w:rsidR="00C831E1">
          <w:fldChar w:fldCharType="end"/>
        </w:r>
      </w:hyperlink>
    </w:p>
    <w:p w:rsidR="00237D27" w:rsidRDefault="006B690C">
      <w:pPr>
        <w:pStyle w:val="30"/>
        <w:tabs>
          <w:tab w:val="clear" w:pos="9241"/>
          <w:tab w:val="right" w:leader="dot" w:pos="9355"/>
        </w:tabs>
        <w:ind w:firstLine="210"/>
      </w:pPr>
      <w:hyperlink w:anchor="_Toc8981" w:history="1">
        <w:r w:rsidR="00C831E1">
          <w:rPr>
            <w:rFonts w:ascii="黑体" w:eastAsia="黑体" w:hAnsi="黑体" w:cs="黑体"/>
            <w:lang w:bidi="zh-CN"/>
            <w14:scene3d>
              <w14:camera w14:prst="orthographicFront"/>
              <w14:lightRig w14:rig="threePt" w14:dir="t">
                <w14:rot w14:lat="0" w14:lon="0" w14:rev="0"/>
              </w14:lightRig>
            </w14:scene3d>
          </w:rPr>
          <w:t xml:space="preserve">10.6 </w:t>
        </w:r>
        <w:r w:rsidR="00C831E1">
          <w:rPr>
            <w:rFonts w:hAnsi="黑体" w:cs="黑体" w:hint="eastAsia"/>
            <w:lang w:bidi="zh-CN"/>
          </w:rPr>
          <w:t>监控与评价</w:t>
        </w:r>
        <w:r w:rsidR="00C831E1">
          <w:tab/>
        </w:r>
        <w:r w:rsidR="00C831E1">
          <w:fldChar w:fldCharType="begin"/>
        </w:r>
        <w:r w:rsidR="00C831E1">
          <w:instrText xml:space="preserve"> PAGEREF _Toc8981 \h </w:instrText>
        </w:r>
        <w:r w:rsidR="00C831E1">
          <w:fldChar w:fldCharType="separate"/>
        </w:r>
        <w:r w:rsidR="00C831E1">
          <w:t>8</w:t>
        </w:r>
        <w:r w:rsidR="00C831E1">
          <w:fldChar w:fldCharType="end"/>
        </w:r>
      </w:hyperlink>
    </w:p>
    <w:p w:rsidR="00237D27" w:rsidRDefault="006B690C">
      <w:pPr>
        <w:pStyle w:val="30"/>
        <w:tabs>
          <w:tab w:val="clear" w:pos="9241"/>
          <w:tab w:val="right" w:leader="dot" w:pos="9355"/>
        </w:tabs>
        <w:ind w:firstLine="210"/>
      </w:pPr>
      <w:hyperlink w:anchor="_Toc31093" w:history="1">
        <w:r w:rsidR="00C831E1">
          <w:rPr>
            <w:rFonts w:ascii="黑体" w:eastAsia="黑体" w:hAnsi="黑体" w:cs="黑体"/>
            <w:lang w:bidi="zh-CN"/>
            <w14:scene3d>
              <w14:camera w14:prst="orthographicFront"/>
              <w14:lightRig w14:rig="threePt" w14:dir="t">
                <w14:rot w14:lat="0" w14:lon="0" w14:rev="0"/>
              </w14:lightRig>
            </w14:scene3d>
          </w:rPr>
          <w:t xml:space="preserve">10.7 </w:t>
        </w:r>
        <w:r w:rsidR="00C831E1">
          <w:rPr>
            <w:rFonts w:hAnsi="黑体" w:cs="黑体" w:hint="eastAsia"/>
            <w:lang w:bidi="zh-CN"/>
          </w:rPr>
          <w:t>改进与优化</w:t>
        </w:r>
        <w:r w:rsidR="00C831E1">
          <w:tab/>
        </w:r>
        <w:r w:rsidR="00C831E1">
          <w:fldChar w:fldCharType="begin"/>
        </w:r>
        <w:r w:rsidR="00C831E1">
          <w:instrText xml:space="preserve"> PAGEREF _Toc31093 \h </w:instrText>
        </w:r>
        <w:r w:rsidR="00C831E1">
          <w:fldChar w:fldCharType="separate"/>
        </w:r>
        <w:r w:rsidR="00C831E1">
          <w:t>8</w:t>
        </w:r>
        <w:r w:rsidR="00C831E1">
          <w:fldChar w:fldCharType="end"/>
        </w:r>
      </w:hyperlink>
    </w:p>
    <w:p w:rsidR="00237D27" w:rsidRDefault="006B690C">
      <w:pPr>
        <w:pStyle w:val="21"/>
        <w:tabs>
          <w:tab w:val="clear" w:pos="9241"/>
          <w:tab w:val="right" w:leader="dot" w:pos="9355"/>
        </w:tabs>
      </w:pPr>
      <w:hyperlink w:anchor="_Toc28456" w:history="1">
        <w:r w:rsidR="00C831E1">
          <w:rPr>
            <w:rFonts w:ascii="黑体" w:eastAsia="黑体" w:hint="eastAsia"/>
          </w:rPr>
          <w:t xml:space="preserve">11 </w:t>
        </w:r>
        <w:r w:rsidR="00C831E1">
          <w:rPr>
            <w:rFonts w:hint="eastAsia"/>
          </w:rPr>
          <w:t>数据治理工具</w:t>
        </w:r>
        <w:r w:rsidR="00C831E1">
          <w:tab/>
        </w:r>
        <w:r w:rsidR="00C831E1">
          <w:fldChar w:fldCharType="begin"/>
        </w:r>
        <w:r w:rsidR="00C831E1">
          <w:instrText xml:space="preserve"> PAGEREF _Toc28456 \h </w:instrText>
        </w:r>
        <w:r w:rsidR="00C831E1">
          <w:fldChar w:fldCharType="separate"/>
        </w:r>
        <w:r w:rsidR="00C831E1">
          <w:t>8</w:t>
        </w:r>
        <w:r w:rsidR="00C831E1">
          <w:fldChar w:fldCharType="end"/>
        </w:r>
      </w:hyperlink>
    </w:p>
    <w:p w:rsidR="00237D27" w:rsidRDefault="006B690C">
      <w:pPr>
        <w:pStyle w:val="30"/>
        <w:tabs>
          <w:tab w:val="clear" w:pos="9241"/>
          <w:tab w:val="right" w:leader="dot" w:pos="9355"/>
        </w:tabs>
        <w:ind w:firstLine="210"/>
      </w:pPr>
      <w:hyperlink w:anchor="_Toc31561" w:history="1">
        <w:r w:rsidR="00C831E1">
          <w:rPr>
            <w:rFonts w:ascii="黑体" w:eastAsia="黑体" w:hAnsi="黑体" w:cs="黑体"/>
            <w14:scene3d>
              <w14:camera w14:prst="orthographicFront"/>
              <w14:lightRig w14:rig="threePt" w14:dir="t">
                <w14:rot w14:lat="0" w14:lon="0" w14:rev="0"/>
              </w14:lightRig>
            </w14:scene3d>
          </w:rPr>
          <w:t xml:space="preserve">11.1 </w:t>
        </w:r>
        <w:r w:rsidR="00C831E1">
          <w:rPr>
            <w:rFonts w:hAnsi="黑体" w:cs="黑体" w:hint="eastAsia"/>
            <w:lang w:bidi="zh-CN"/>
          </w:rPr>
          <w:t>原则</w:t>
        </w:r>
        <w:r w:rsidR="00C831E1">
          <w:tab/>
        </w:r>
        <w:r w:rsidR="00C831E1">
          <w:fldChar w:fldCharType="begin"/>
        </w:r>
        <w:r w:rsidR="00C831E1">
          <w:instrText xml:space="preserve"> PAGEREF _Toc31561 \h </w:instrText>
        </w:r>
        <w:r w:rsidR="00C831E1">
          <w:fldChar w:fldCharType="separate"/>
        </w:r>
        <w:r w:rsidR="00C831E1">
          <w:t>8</w:t>
        </w:r>
        <w:r w:rsidR="00C831E1">
          <w:fldChar w:fldCharType="end"/>
        </w:r>
      </w:hyperlink>
    </w:p>
    <w:p w:rsidR="00237D27" w:rsidRDefault="006B690C">
      <w:pPr>
        <w:pStyle w:val="30"/>
        <w:tabs>
          <w:tab w:val="clear" w:pos="9241"/>
          <w:tab w:val="right" w:leader="dot" w:pos="9355"/>
        </w:tabs>
        <w:ind w:firstLine="210"/>
      </w:pPr>
      <w:hyperlink w:anchor="_Toc18472" w:history="1">
        <w:r w:rsidR="00C831E1">
          <w:rPr>
            <w:rFonts w:ascii="黑体" w:eastAsia="黑体" w:hAnsi="黑体" w:cs="黑体"/>
            <w:lang w:bidi="zh-CN"/>
            <w14:scene3d>
              <w14:camera w14:prst="orthographicFront"/>
              <w14:lightRig w14:rig="threePt" w14:dir="t">
                <w14:rot w14:lat="0" w14:lon="0" w14:rev="0"/>
              </w14:lightRig>
            </w14:scene3d>
          </w:rPr>
          <w:t xml:space="preserve">11.2 </w:t>
        </w:r>
        <w:r w:rsidR="00C831E1">
          <w:rPr>
            <w:rFonts w:hAnsi="黑体" w:cs="黑体" w:hint="eastAsia"/>
            <w:lang w:bidi="zh-CN"/>
          </w:rPr>
          <w:t>应用要求</w:t>
        </w:r>
        <w:r w:rsidR="00C831E1">
          <w:tab/>
        </w:r>
        <w:r w:rsidR="00C831E1">
          <w:fldChar w:fldCharType="begin"/>
        </w:r>
        <w:r w:rsidR="00C831E1">
          <w:instrText xml:space="preserve"> PAGEREF _Toc18472 \h </w:instrText>
        </w:r>
        <w:r w:rsidR="00C831E1">
          <w:fldChar w:fldCharType="separate"/>
        </w:r>
        <w:r w:rsidR="00C831E1">
          <w:t>8</w:t>
        </w:r>
        <w:r w:rsidR="00C831E1">
          <w:fldChar w:fldCharType="end"/>
        </w:r>
      </w:hyperlink>
    </w:p>
    <w:p w:rsidR="00237D27" w:rsidRDefault="006B690C">
      <w:pPr>
        <w:pStyle w:val="21"/>
        <w:tabs>
          <w:tab w:val="clear" w:pos="9241"/>
          <w:tab w:val="right" w:leader="dot" w:pos="9355"/>
        </w:tabs>
      </w:pPr>
      <w:hyperlink w:anchor="_Toc8945" w:history="1">
        <w:r w:rsidR="00C831E1">
          <w:rPr>
            <w:rFonts w:ascii="黑体" w:eastAsia="黑体" w:hint="eastAsia"/>
          </w:rPr>
          <w:t xml:space="preserve">12 </w:t>
        </w:r>
        <w:r w:rsidR="00C831E1">
          <w:rPr>
            <w:rFonts w:hint="eastAsia"/>
          </w:rPr>
          <w:t>数据治理的前景展望</w:t>
        </w:r>
        <w:r w:rsidR="00C831E1">
          <w:tab/>
        </w:r>
        <w:r w:rsidR="00C831E1">
          <w:fldChar w:fldCharType="begin"/>
        </w:r>
        <w:r w:rsidR="00C831E1">
          <w:instrText xml:space="preserve"> PAGEREF _Toc8945 \h </w:instrText>
        </w:r>
        <w:r w:rsidR="00C831E1">
          <w:fldChar w:fldCharType="separate"/>
        </w:r>
        <w:r w:rsidR="00C831E1">
          <w:t>9</w:t>
        </w:r>
        <w:r w:rsidR="00C831E1">
          <w:fldChar w:fldCharType="end"/>
        </w:r>
      </w:hyperlink>
    </w:p>
    <w:p w:rsidR="00237D27" w:rsidRDefault="006B690C">
      <w:pPr>
        <w:pStyle w:val="30"/>
        <w:tabs>
          <w:tab w:val="clear" w:pos="9241"/>
          <w:tab w:val="right" w:leader="dot" w:pos="9355"/>
        </w:tabs>
        <w:ind w:firstLine="210"/>
      </w:pPr>
      <w:hyperlink w:anchor="_Toc20184" w:history="1">
        <w:r w:rsidR="00C831E1">
          <w:rPr>
            <w:rFonts w:ascii="黑体" w:eastAsia="黑体" w:hAnsi="黑体" w:cs="黑体"/>
            <w:lang w:bidi="zh-CN"/>
            <w14:scene3d>
              <w14:camera w14:prst="orthographicFront"/>
              <w14:lightRig w14:rig="threePt" w14:dir="t">
                <w14:rot w14:lat="0" w14:lon="0" w14:rev="0"/>
              </w14:lightRig>
            </w14:scene3d>
          </w:rPr>
          <w:t xml:space="preserve">12.1 </w:t>
        </w:r>
        <w:r w:rsidR="00C831E1">
          <w:rPr>
            <w:rFonts w:ascii="Segoe UI" w:eastAsia="Segoe UI" w:hAnsi="Segoe UI" w:cs="Segoe UI"/>
            <w:bCs/>
            <w:shd w:val="clear" w:color="auto" w:fill="FFFFFF"/>
          </w:rPr>
          <w:t>能化转型的数据治理引擎</w:t>
        </w:r>
        <w:r w:rsidR="00C831E1">
          <w:tab/>
        </w:r>
        <w:r w:rsidR="00C831E1">
          <w:fldChar w:fldCharType="begin"/>
        </w:r>
        <w:r w:rsidR="00C831E1">
          <w:instrText xml:space="preserve"> PAGEREF _Toc20184 \h </w:instrText>
        </w:r>
        <w:r w:rsidR="00C831E1">
          <w:fldChar w:fldCharType="separate"/>
        </w:r>
        <w:r w:rsidR="00C831E1">
          <w:t>9</w:t>
        </w:r>
        <w:r w:rsidR="00C831E1">
          <w:fldChar w:fldCharType="end"/>
        </w:r>
      </w:hyperlink>
    </w:p>
    <w:p w:rsidR="00237D27" w:rsidRDefault="006B690C">
      <w:pPr>
        <w:pStyle w:val="30"/>
        <w:tabs>
          <w:tab w:val="clear" w:pos="9241"/>
          <w:tab w:val="right" w:leader="dot" w:pos="9355"/>
        </w:tabs>
        <w:ind w:firstLine="210"/>
      </w:pPr>
      <w:hyperlink w:anchor="_Toc21779" w:history="1">
        <w:r w:rsidR="00C831E1">
          <w:rPr>
            <w:rFonts w:ascii="黑体" w:eastAsia="黑体" w:hAnsi="黑体" w:cs="黑体"/>
            <w:lang w:bidi="zh-CN"/>
            <w14:scene3d>
              <w14:camera w14:prst="orthographicFront"/>
              <w14:lightRig w14:rig="threePt" w14:dir="t">
                <w14:rot w14:lat="0" w14:lon="0" w14:rev="0"/>
              </w14:lightRig>
            </w14:scene3d>
          </w:rPr>
          <w:t xml:space="preserve">12.2 </w:t>
        </w:r>
        <w:r w:rsidR="00C831E1">
          <w:rPr>
            <w:rFonts w:hAnsi="黑体" w:cs="黑体" w:hint="eastAsia"/>
            <w:lang w:bidi="zh-CN"/>
          </w:rPr>
          <w:t>数据资产化和价值化</w:t>
        </w:r>
        <w:r w:rsidR="00C831E1">
          <w:tab/>
        </w:r>
        <w:r w:rsidR="00C831E1">
          <w:fldChar w:fldCharType="begin"/>
        </w:r>
        <w:r w:rsidR="00C831E1">
          <w:instrText xml:space="preserve"> PAGEREF _Toc21779 \h </w:instrText>
        </w:r>
        <w:r w:rsidR="00C831E1">
          <w:fldChar w:fldCharType="separate"/>
        </w:r>
        <w:r w:rsidR="00C831E1">
          <w:t>10</w:t>
        </w:r>
        <w:r w:rsidR="00C831E1">
          <w:fldChar w:fldCharType="end"/>
        </w:r>
      </w:hyperlink>
    </w:p>
    <w:p w:rsidR="00237D27" w:rsidRDefault="00237D27">
      <w:pPr>
        <w:pStyle w:val="21"/>
        <w:tabs>
          <w:tab w:val="clear" w:pos="9241"/>
          <w:tab w:val="right" w:leader="dot" w:pos="9355"/>
        </w:tabs>
      </w:pPr>
    </w:p>
    <w:p w:rsidR="00237D27" w:rsidRDefault="00C831E1">
      <w:pPr>
        <w:pStyle w:val="21"/>
        <w:tabs>
          <w:tab w:val="clear" w:pos="9241"/>
          <w:tab w:val="right" w:leader="dot" w:pos="9355"/>
        </w:tabs>
      </w:pPr>
      <w:r>
        <w:fldChar w:fldCharType="end"/>
      </w:r>
    </w:p>
    <w:p w:rsidR="00237D27" w:rsidRDefault="00C831E1">
      <w:pPr>
        <w:pStyle w:val="affffff3"/>
      </w:pPr>
      <w:bookmarkStart w:id="21" w:name="_Toc27959"/>
      <w:bookmarkStart w:id="22" w:name="_Toc27938"/>
      <w:bookmarkStart w:id="23" w:name="_Toc21228"/>
      <w:r>
        <w:rPr>
          <w:rFonts w:hint="eastAsia"/>
        </w:rPr>
        <w:lastRenderedPageBreak/>
        <w:t>前</w:t>
      </w:r>
      <w:r>
        <w:rPr>
          <w:rFonts w:ascii="Cambria Math" w:hAnsi="Cambria Math" w:cs="Cambria Math"/>
        </w:rPr>
        <w:t>  </w:t>
      </w:r>
      <w:r>
        <w:rPr>
          <w:rFonts w:hint="eastAsia"/>
        </w:rPr>
        <w:t>言</w:t>
      </w:r>
      <w:bookmarkEnd w:id="21"/>
      <w:bookmarkEnd w:id="22"/>
      <w:bookmarkEnd w:id="23"/>
    </w:p>
    <w:p w:rsidR="00237D27" w:rsidRDefault="00C831E1">
      <w:pPr>
        <w:pStyle w:val="afff2"/>
      </w:pPr>
      <w:r>
        <w:rPr>
          <w:rFonts w:hint="eastAsia"/>
        </w:rPr>
        <w:t>本文件按照GB/T 1.1</w:t>
      </w:r>
      <w:r>
        <w:t>-</w:t>
      </w:r>
      <w:r>
        <w:rPr>
          <w:rFonts w:hint="eastAsia"/>
        </w:rPr>
        <w:t>2020 《标准化工作导则 第1部分：标准化文件的结构和起草规则》的规定起草。</w:t>
      </w:r>
    </w:p>
    <w:p w:rsidR="00237D27" w:rsidRDefault="00C831E1">
      <w:pPr>
        <w:pStyle w:val="afff2"/>
      </w:pPr>
      <w:r>
        <w:rPr>
          <w:rFonts w:hint="eastAsia"/>
        </w:rPr>
        <w:t>请注意本文件的某些内容可能涉及专利。本文件的发布机构不承担识别专利的责任。</w:t>
      </w:r>
    </w:p>
    <w:p w:rsidR="00237D27" w:rsidRDefault="00C831E1">
      <w:pPr>
        <w:pStyle w:val="afff2"/>
        <w:rPr>
          <w:szCs w:val="21"/>
        </w:rPr>
      </w:pPr>
      <w:r>
        <w:rPr>
          <w:rFonts w:hint="eastAsia"/>
        </w:rPr>
        <w:t>本文件由中国核能行业协会提出并归口，技术支持单位为上海核工程研究设计院股份有限公司、核工业标准化研究所、苏州热工研究院有限公司、华能核能技术研究院有限公司。</w:t>
      </w:r>
    </w:p>
    <w:p w:rsidR="00237D27" w:rsidRDefault="00C831E1">
      <w:pPr>
        <w:pStyle w:val="afffffff2"/>
        <w:spacing w:before="0" w:beforeAutospacing="0" w:after="0" w:afterAutospacing="0"/>
        <w:ind w:firstLine="420"/>
        <w:jc w:val="both"/>
        <w:rPr>
          <w:sz w:val="21"/>
          <w:szCs w:val="21"/>
        </w:rPr>
      </w:pPr>
      <w:r>
        <w:rPr>
          <w:sz w:val="21"/>
          <w:szCs w:val="21"/>
        </w:rPr>
        <w:t>本</w:t>
      </w:r>
      <w:r>
        <w:rPr>
          <w:rFonts w:hint="eastAsia"/>
          <w:sz w:val="21"/>
          <w:szCs w:val="21"/>
        </w:rPr>
        <w:t>文件</w:t>
      </w:r>
      <w:r>
        <w:rPr>
          <w:sz w:val="21"/>
          <w:szCs w:val="21"/>
        </w:rPr>
        <w:t>起草单位：</w:t>
      </w:r>
      <w:r>
        <w:rPr>
          <w:rFonts w:hint="eastAsia"/>
          <w:sz w:val="21"/>
          <w:szCs w:val="21"/>
        </w:rPr>
        <w:t>中广核工程有限公司、中国建筑科学研究院有限公司、华中科技大学、中国核电工程有限公司、上海核工程研究设计院股份有限公司</w:t>
      </w:r>
    </w:p>
    <w:p w:rsidR="00237D27" w:rsidRDefault="00C831E1">
      <w:pPr>
        <w:pStyle w:val="afffffff2"/>
        <w:spacing w:before="0" w:beforeAutospacing="0" w:after="0" w:afterAutospacing="0"/>
        <w:ind w:firstLine="420"/>
        <w:jc w:val="both"/>
        <w:rPr>
          <w:sz w:val="21"/>
          <w:szCs w:val="21"/>
        </w:rPr>
      </w:pPr>
      <w:r>
        <w:rPr>
          <w:rFonts w:hint="eastAsia"/>
          <w:sz w:val="21"/>
          <w:szCs w:val="21"/>
        </w:rPr>
        <w:t>本文件主要</w:t>
      </w:r>
      <w:r>
        <w:rPr>
          <w:sz w:val="21"/>
          <w:szCs w:val="21"/>
        </w:rPr>
        <w:t>起草人：</w:t>
      </w:r>
      <w:bookmarkStart w:id="24" w:name="OLE_LINK2"/>
      <w:proofErr w:type="gramStart"/>
      <w:r>
        <w:rPr>
          <w:rFonts w:hint="eastAsia"/>
          <w:sz w:val="21"/>
          <w:szCs w:val="21"/>
        </w:rPr>
        <w:t>田立成</w:t>
      </w:r>
      <w:proofErr w:type="gramEnd"/>
      <w:r>
        <w:rPr>
          <w:rFonts w:hint="eastAsia"/>
          <w:sz w:val="21"/>
          <w:szCs w:val="21"/>
        </w:rPr>
        <w:t>、靳先静、王鑫、罗澄、王浩、严家福、赵栋、梁志才、刘文秀、关利华、许心炜、汪明开、陈维亚、姜立等</w:t>
      </w:r>
      <w:r>
        <w:rPr>
          <w:sz w:val="21"/>
          <w:szCs w:val="21"/>
        </w:rPr>
        <w:t>。</w:t>
      </w:r>
      <w:bookmarkEnd w:id="24"/>
      <w:r>
        <w:rPr>
          <w:sz w:val="21"/>
          <w:szCs w:val="21"/>
        </w:rPr>
        <w:t xml:space="preserve"> </w:t>
      </w:r>
    </w:p>
    <w:p w:rsidR="00237D27" w:rsidRDefault="00C831E1">
      <w:pPr>
        <w:pStyle w:val="afffffff2"/>
        <w:spacing w:before="0" w:beforeAutospacing="0" w:after="0" w:afterAutospacing="0"/>
        <w:ind w:firstLine="420"/>
        <w:jc w:val="both"/>
        <w:rPr>
          <w:sz w:val="21"/>
          <w:szCs w:val="21"/>
        </w:rPr>
      </w:pPr>
      <w:r>
        <w:rPr>
          <w:rFonts w:hint="eastAsia"/>
          <w:sz w:val="21"/>
          <w:szCs w:val="21"/>
        </w:rPr>
        <w:t>本文件首次发布。</w:t>
      </w:r>
    </w:p>
    <w:p w:rsidR="00237D27" w:rsidRDefault="00237D27">
      <w:pPr>
        <w:pStyle w:val="afff2"/>
        <w:ind w:firstLineChars="0" w:firstLine="0"/>
        <w:sectPr w:rsidR="00237D27">
          <w:headerReference w:type="default" r:id="rId13"/>
          <w:footerReference w:type="default" r:id="rId14"/>
          <w:pgSz w:w="11906" w:h="16838"/>
          <w:pgMar w:top="567" w:right="1134" w:bottom="1134" w:left="1417" w:header="1418" w:footer="1134" w:gutter="0"/>
          <w:pgNumType w:fmt="upperRoman" w:start="1"/>
          <w:cols w:space="720"/>
          <w:formProt w:val="0"/>
          <w:docGrid w:type="lines" w:linePitch="312"/>
        </w:sectPr>
      </w:pPr>
    </w:p>
    <w:p w:rsidR="00237D27" w:rsidRDefault="00C831E1">
      <w:pPr>
        <w:pStyle w:val="affff0"/>
      </w:pPr>
      <w:bookmarkStart w:id="25" w:name="_Toc28214"/>
      <w:bookmarkStart w:id="26" w:name="_Toc21648"/>
      <w:bookmarkStart w:id="27" w:name="_Toc140218835"/>
      <w:bookmarkStart w:id="28" w:name="_Toc9701"/>
      <w:r>
        <w:rPr>
          <w:rFonts w:hint="eastAsia"/>
        </w:rPr>
        <w:lastRenderedPageBreak/>
        <w:t>核电工程建设数据</w:t>
      </w:r>
      <w:bookmarkEnd w:id="25"/>
      <w:bookmarkEnd w:id="26"/>
      <w:bookmarkEnd w:id="27"/>
      <w:r>
        <w:rPr>
          <w:rFonts w:hint="eastAsia"/>
        </w:rPr>
        <w:t>治理规范</w:t>
      </w:r>
      <w:bookmarkEnd w:id="28"/>
    </w:p>
    <w:p w:rsidR="00237D27" w:rsidRDefault="00C831E1">
      <w:pPr>
        <w:pStyle w:val="a4"/>
      </w:pPr>
      <w:bookmarkStart w:id="29" w:name="_Toc17798"/>
      <w:bookmarkStart w:id="30" w:name="_Toc23942"/>
      <w:bookmarkStart w:id="31" w:name="_Toc140218836"/>
      <w:bookmarkStart w:id="32" w:name="_Toc475687365"/>
      <w:r>
        <w:rPr>
          <w:rFonts w:hint="eastAsia"/>
        </w:rPr>
        <w:t>范围</w:t>
      </w:r>
      <w:bookmarkEnd w:id="29"/>
      <w:bookmarkEnd w:id="30"/>
      <w:bookmarkEnd w:id="31"/>
      <w:bookmarkEnd w:id="32"/>
    </w:p>
    <w:p w:rsidR="00237D27" w:rsidRDefault="00C831E1">
      <w:pPr>
        <w:pStyle w:val="afff2"/>
      </w:pPr>
      <w:r>
        <w:rPr>
          <w:rFonts w:hint="eastAsia"/>
        </w:rPr>
        <w:t>本文件规定了核电工程建设（设计、采购、施工、调试）中数据治理的总体要求、管理框架、技术规范及安全要求。</w:t>
      </w:r>
    </w:p>
    <w:p w:rsidR="00237D27" w:rsidRDefault="00C831E1">
      <w:pPr>
        <w:ind w:firstLineChars="200" w:firstLine="420"/>
      </w:pPr>
      <w:r>
        <w:rPr>
          <w:rFonts w:hint="eastAsia"/>
        </w:rPr>
        <w:t>本文件适用于核电企业、承包商、供应商等参与方</w:t>
      </w:r>
      <w:r>
        <w:rPr>
          <w:rFonts w:ascii="宋体" w:hAnsi="宋体" w:cs="宋体" w:hint="eastAsia"/>
          <w:szCs w:val="21"/>
          <w:lang w:bidi="ar"/>
        </w:rPr>
        <w:t>在核电工程建设阶段</w:t>
      </w:r>
      <w:r>
        <w:rPr>
          <w:rFonts w:hint="eastAsia"/>
        </w:rPr>
        <w:t>的数据治理活动。</w:t>
      </w:r>
    </w:p>
    <w:p w:rsidR="00237D27" w:rsidRDefault="00C831E1">
      <w:pPr>
        <w:pStyle w:val="a4"/>
      </w:pPr>
      <w:bookmarkStart w:id="33" w:name="_Toc140218837"/>
      <w:bookmarkStart w:id="34" w:name="_Toc475687366"/>
      <w:bookmarkStart w:id="35" w:name="_Toc23805"/>
      <w:bookmarkStart w:id="36" w:name="_Toc18742"/>
      <w:r>
        <w:rPr>
          <w:rFonts w:hint="eastAsia"/>
        </w:rPr>
        <w:t>规范性引用文件</w:t>
      </w:r>
      <w:bookmarkEnd w:id="33"/>
      <w:bookmarkEnd w:id="34"/>
      <w:bookmarkEnd w:id="35"/>
      <w:bookmarkEnd w:id="36"/>
    </w:p>
    <w:p w:rsidR="00237D27" w:rsidRDefault="00C831E1">
      <w:pPr>
        <w:pStyle w:val="afff2"/>
      </w:pPr>
      <w:r>
        <w:rPr>
          <w:rFonts w:hint="eastAsia"/>
        </w:rPr>
        <w:t>下列文件对于本规范的引用是必不可少的。凡是注日期的引用文件，仅注日期的版本适用于本标准。凡是不注日期的引用文件，其最新版本（包括所有的修改单）适用于本标准。</w:t>
      </w:r>
    </w:p>
    <w:p w:rsidR="00237D27" w:rsidRDefault="00C831E1">
      <w:pPr>
        <w:pStyle w:val="afff2"/>
      </w:pPr>
      <w:r>
        <w:rPr>
          <w:rFonts w:hint="eastAsia"/>
        </w:rPr>
        <w:t>GB/T 34960.5-2018 信息技术服务 治理 第5部分：数据治理规范</w:t>
      </w:r>
    </w:p>
    <w:p w:rsidR="00237D27" w:rsidRDefault="00C831E1">
      <w:pPr>
        <w:pStyle w:val="afff2"/>
      </w:pPr>
      <w:r>
        <w:rPr>
          <w:rFonts w:hint="eastAsia"/>
        </w:rPr>
        <w:t>GB/T 44109-2024   信息技术 大数据 数据治理实施指南</w:t>
      </w:r>
    </w:p>
    <w:p w:rsidR="00237D27" w:rsidRDefault="00C831E1">
      <w:pPr>
        <w:pStyle w:val="afff2"/>
        <w:rPr>
          <w:rFonts w:hAnsi="宋体" w:cs="宋体"/>
          <w:kern w:val="2"/>
          <w:szCs w:val="21"/>
          <w:lang w:bidi="ar"/>
        </w:rPr>
      </w:pPr>
      <w:r>
        <w:rPr>
          <w:rFonts w:hAnsi="宋体" w:cs="宋体" w:hint="eastAsia"/>
          <w:kern w:val="2"/>
          <w:szCs w:val="21"/>
          <w:lang w:bidi="ar"/>
        </w:rPr>
        <w:t>GB/T 36073-2025 数据管理能力成熟度评估模型</w:t>
      </w:r>
    </w:p>
    <w:p w:rsidR="00237D27" w:rsidRDefault="00C831E1">
      <w:pPr>
        <w:pStyle w:val="afff2"/>
        <w:rPr>
          <w:rFonts w:hAnsi="宋体" w:cs="宋体"/>
          <w:kern w:val="2"/>
          <w:szCs w:val="21"/>
          <w:lang w:bidi="ar"/>
        </w:rPr>
      </w:pPr>
      <w:r>
        <w:rPr>
          <w:rFonts w:hAnsi="宋体" w:cs="宋体" w:hint="eastAsia"/>
          <w:kern w:val="2"/>
          <w:szCs w:val="21"/>
          <w:lang w:bidi="ar"/>
        </w:rPr>
        <w:t>NB/T 20651-2023 核电厂主数据管理导则</w:t>
      </w:r>
    </w:p>
    <w:p w:rsidR="00237D27" w:rsidRDefault="00C831E1">
      <w:pPr>
        <w:pStyle w:val="afff2"/>
        <w:rPr>
          <w:rFonts w:hAnsi="宋体" w:cs="宋体"/>
          <w:kern w:val="2"/>
          <w:szCs w:val="21"/>
          <w:lang w:bidi="ar"/>
        </w:rPr>
      </w:pPr>
      <w:r>
        <w:rPr>
          <w:rFonts w:hAnsi="宋体" w:cs="宋体" w:hint="eastAsia"/>
          <w:kern w:val="2"/>
          <w:szCs w:val="21"/>
          <w:lang w:bidi="ar"/>
        </w:rPr>
        <w:t>NB/T 20650-2023 核电厂运行生产数据管理要求</w:t>
      </w:r>
    </w:p>
    <w:p w:rsidR="00237D27" w:rsidRDefault="00C831E1">
      <w:pPr>
        <w:pStyle w:val="a4"/>
        <w:rPr>
          <w:rFonts w:hAnsi="黑体" w:cs="黑体"/>
        </w:rPr>
      </w:pPr>
      <w:bookmarkStart w:id="37" w:name="_Toc475687367"/>
      <w:bookmarkStart w:id="38" w:name="_Toc30495"/>
      <w:bookmarkStart w:id="39" w:name="_Toc140218838"/>
      <w:bookmarkStart w:id="40" w:name="_Toc11415"/>
      <w:bookmarkEnd w:id="37"/>
      <w:r>
        <w:rPr>
          <w:rFonts w:hAnsi="黑体" w:cs="黑体" w:hint="eastAsia"/>
        </w:rPr>
        <w:t>术语和定义</w:t>
      </w:r>
      <w:bookmarkEnd w:id="38"/>
      <w:bookmarkEnd w:id="39"/>
      <w:bookmarkEnd w:id="40"/>
    </w:p>
    <w:p w:rsidR="00237D27" w:rsidRDefault="00237D27">
      <w:pPr>
        <w:pStyle w:val="a5"/>
        <w:rPr>
          <w:rFonts w:hAnsi="黑体" w:cs="黑体"/>
          <w:lang w:bidi="zh-CN"/>
        </w:rPr>
      </w:pPr>
    </w:p>
    <w:p w:rsidR="00237D27" w:rsidRDefault="00C831E1" w:rsidP="00BF2D05">
      <w:pPr>
        <w:pStyle w:val="a5"/>
        <w:numPr>
          <w:ilvl w:val="255"/>
          <w:numId w:val="0"/>
        </w:numPr>
        <w:ind w:firstLineChars="200" w:firstLine="420"/>
        <w:rPr>
          <w:rFonts w:hAnsi="黑体" w:cs="黑体"/>
          <w:lang w:bidi="zh-CN"/>
        </w:rPr>
      </w:pPr>
      <w:r>
        <w:rPr>
          <w:rFonts w:hAnsi="黑体" w:cs="黑体" w:hint="eastAsia"/>
          <w:lang w:bidi="zh-CN"/>
        </w:rPr>
        <w:t>数据 data</w:t>
      </w:r>
    </w:p>
    <w:p w:rsidR="00237D27" w:rsidRDefault="00C831E1">
      <w:pPr>
        <w:pStyle w:val="afff2"/>
      </w:pPr>
      <w:r>
        <w:rPr>
          <w:rFonts w:hint="eastAsia"/>
        </w:rPr>
        <w:t>公司项目系列业务领域活动中产生、采集、整合和使用的，以电子或者其他形式对信息的记录。</w:t>
      </w:r>
    </w:p>
    <w:p w:rsidR="00237D27" w:rsidRDefault="00237D27">
      <w:pPr>
        <w:pStyle w:val="a5"/>
        <w:rPr>
          <w:rFonts w:hAnsi="黑体" w:cs="黑体"/>
          <w:lang w:bidi="zh-CN"/>
        </w:rPr>
      </w:pPr>
    </w:p>
    <w:p w:rsidR="00237D27" w:rsidRDefault="00C831E1" w:rsidP="00BF2D05">
      <w:pPr>
        <w:pStyle w:val="a5"/>
        <w:numPr>
          <w:ilvl w:val="255"/>
          <w:numId w:val="0"/>
        </w:numPr>
        <w:ind w:firstLineChars="200" w:firstLine="420"/>
        <w:rPr>
          <w:rFonts w:hAnsi="黑体" w:cs="黑体"/>
          <w:lang w:bidi="zh-CN"/>
        </w:rPr>
      </w:pPr>
      <w:r>
        <w:rPr>
          <w:rFonts w:hAnsi="黑体" w:cs="黑体" w:hint="eastAsia"/>
          <w:lang w:bidi="zh-CN"/>
        </w:rPr>
        <w:t>数据治理 data governance</w:t>
      </w:r>
    </w:p>
    <w:p w:rsidR="00237D27" w:rsidRDefault="00C831E1">
      <w:pPr>
        <w:pStyle w:val="afff2"/>
        <w:rPr>
          <w:rFonts w:hAnsi="黑体" w:cs="黑体"/>
          <w:lang w:bidi="zh-CN"/>
        </w:rPr>
      </w:pPr>
      <w:r>
        <w:rPr>
          <w:rFonts w:hAnsi="黑体" w:cs="黑体" w:hint="eastAsia"/>
          <w:lang w:bidi="zh-CN"/>
        </w:rPr>
        <w:t>组织提升数据的质量、安全和合</w:t>
      </w:r>
      <w:proofErr w:type="gramStart"/>
      <w:r>
        <w:rPr>
          <w:rFonts w:hAnsi="黑体" w:cs="黑体" w:hint="eastAsia"/>
          <w:lang w:bidi="zh-CN"/>
        </w:rPr>
        <w:t>规</w:t>
      </w:r>
      <w:proofErr w:type="gramEnd"/>
      <w:r>
        <w:rPr>
          <w:rFonts w:hAnsi="黑体" w:cs="黑体" w:hint="eastAsia"/>
          <w:lang w:bidi="zh-CN"/>
        </w:rPr>
        <w:t>性，推动数据有效利用的过程。</w:t>
      </w:r>
    </w:p>
    <w:p w:rsidR="00237D27" w:rsidRDefault="00C831E1">
      <w:pPr>
        <w:pStyle w:val="afff2"/>
      </w:pPr>
      <w:r>
        <w:rPr>
          <w:rFonts w:hint="eastAsia"/>
        </w:rPr>
        <w:t>[GB/T 36073-2025 《数据管理能力成熟度评估模型》，3.2]</w:t>
      </w:r>
    </w:p>
    <w:p w:rsidR="00237D27" w:rsidRDefault="00237D27">
      <w:pPr>
        <w:pStyle w:val="a5"/>
      </w:pPr>
    </w:p>
    <w:p w:rsidR="00237D27" w:rsidRDefault="00C831E1" w:rsidP="00BF2D05">
      <w:pPr>
        <w:pStyle w:val="a5"/>
        <w:numPr>
          <w:ilvl w:val="255"/>
          <w:numId w:val="0"/>
        </w:numPr>
        <w:ind w:firstLineChars="200" w:firstLine="420"/>
      </w:pPr>
      <w:r>
        <w:rPr>
          <w:rFonts w:hAnsi="黑体" w:cs="黑体" w:hint="eastAsia"/>
          <w:lang w:bidi="zh-CN"/>
        </w:rPr>
        <w:t>数据</w:t>
      </w:r>
      <w:r>
        <w:rPr>
          <w:rFonts w:hint="eastAsia"/>
        </w:rPr>
        <w:t>资产 data asset</w:t>
      </w:r>
    </w:p>
    <w:p w:rsidR="00237D27" w:rsidRDefault="00C831E1">
      <w:pPr>
        <w:pStyle w:val="afff2"/>
      </w:pPr>
      <w:r>
        <w:rPr>
          <w:rFonts w:hint="eastAsia"/>
        </w:rPr>
        <w:t>特定主体合法拥有或控制的，能进行货币计量的，且能带来经济利益或社会效益的数据资源。</w:t>
      </w:r>
    </w:p>
    <w:p w:rsidR="00237D27" w:rsidRDefault="00C831E1">
      <w:pPr>
        <w:pStyle w:val="afff2"/>
      </w:pPr>
      <w:r>
        <w:rPr>
          <w:rFonts w:hint="eastAsia"/>
        </w:rPr>
        <w:t>[GB/T 36073-2025 《数据管理能力成熟度评估模型》，3.4]</w:t>
      </w:r>
    </w:p>
    <w:p w:rsidR="00237D27" w:rsidRDefault="00237D27">
      <w:pPr>
        <w:pStyle w:val="afff2"/>
      </w:pPr>
    </w:p>
    <w:p w:rsidR="00237D27" w:rsidRDefault="00237D27">
      <w:pPr>
        <w:pStyle w:val="a5"/>
        <w:rPr>
          <w:rFonts w:hAnsi="黑体" w:cs="黑体"/>
          <w:lang w:bidi="zh-CN"/>
        </w:rPr>
      </w:pPr>
    </w:p>
    <w:p w:rsidR="00237D27" w:rsidRDefault="00C831E1" w:rsidP="00BF2D05">
      <w:pPr>
        <w:pStyle w:val="a5"/>
        <w:numPr>
          <w:ilvl w:val="255"/>
          <w:numId w:val="0"/>
        </w:numPr>
        <w:ind w:firstLineChars="200" w:firstLine="420"/>
        <w:rPr>
          <w:rFonts w:hAnsi="黑体" w:cs="黑体"/>
          <w:lang w:bidi="zh-CN"/>
        </w:rPr>
      </w:pPr>
      <w:r>
        <w:rPr>
          <w:rFonts w:hAnsi="黑体" w:cs="黑体" w:hint="eastAsia"/>
          <w:lang w:bidi="zh-CN"/>
        </w:rPr>
        <w:t>数据架构 data architecture</w:t>
      </w:r>
    </w:p>
    <w:p w:rsidR="00237D27" w:rsidRDefault="00C831E1">
      <w:pPr>
        <w:pStyle w:val="afff2"/>
      </w:pPr>
      <w:r>
        <w:rPr>
          <w:rFonts w:hint="eastAsia"/>
        </w:rPr>
        <w:lastRenderedPageBreak/>
        <w:t>通过组织级数据模型定义数据需求，指导对数据资产的分布控制和整合，部署数据的共享和应用环</w:t>
      </w:r>
    </w:p>
    <w:p w:rsidR="00237D27" w:rsidRDefault="00C831E1">
      <w:pPr>
        <w:pStyle w:val="afff2"/>
      </w:pPr>
      <w:r>
        <w:rPr>
          <w:rFonts w:hint="eastAsia"/>
        </w:rPr>
        <w:t>境，以及元数据管理的规范。</w:t>
      </w:r>
    </w:p>
    <w:p w:rsidR="00237D27" w:rsidRDefault="00C831E1">
      <w:pPr>
        <w:pStyle w:val="afff2"/>
      </w:pPr>
      <w:r>
        <w:rPr>
          <w:rFonts w:hint="eastAsia"/>
        </w:rPr>
        <w:t>[GB/T 36073-2025 《数据管理能力成熟度评估模型》，3.6]</w:t>
      </w:r>
    </w:p>
    <w:p w:rsidR="00237D27" w:rsidRDefault="00237D27">
      <w:pPr>
        <w:pStyle w:val="a5"/>
      </w:pPr>
    </w:p>
    <w:p w:rsidR="00237D27" w:rsidRDefault="00C831E1" w:rsidP="00BF2D05">
      <w:pPr>
        <w:pStyle w:val="a5"/>
        <w:numPr>
          <w:ilvl w:val="255"/>
          <w:numId w:val="0"/>
        </w:numPr>
        <w:ind w:firstLineChars="200" w:firstLine="420"/>
      </w:pPr>
      <w:r>
        <w:rPr>
          <w:rFonts w:hint="eastAsia"/>
        </w:rPr>
        <w:t>数据管理 data management</w:t>
      </w:r>
    </w:p>
    <w:p w:rsidR="00237D27" w:rsidRDefault="00C831E1">
      <w:pPr>
        <w:pStyle w:val="afff2"/>
      </w:pPr>
      <w:r>
        <w:rPr>
          <w:rFonts w:hint="eastAsia"/>
        </w:rPr>
        <w:t>数据资源获取、控制、价值提升等活动的集合。</w:t>
      </w:r>
    </w:p>
    <w:p w:rsidR="00237D27" w:rsidRDefault="00C831E1">
      <w:pPr>
        <w:pStyle w:val="afff2"/>
      </w:pPr>
      <w:r>
        <w:rPr>
          <w:rFonts w:hint="eastAsia"/>
        </w:rPr>
        <w:t>[GB/T 34960.5-2018 《信息技术服务 治理 第5部分：数据治理规范》，3.2]</w:t>
      </w:r>
    </w:p>
    <w:p w:rsidR="00237D27" w:rsidRDefault="00237D27">
      <w:pPr>
        <w:pStyle w:val="a5"/>
      </w:pPr>
      <w:bookmarkStart w:id="41" w:name="_Toc28989"/>
      <w:bookmarkStart w:id="42" w:name="_Toc20489"/>
      <w:bookmarkStart w:id="43" w:name="_Toc21359"/>
      <w:bookmarkStart w:id="44" w:name="_Toc140218841"/>
      <w:bookmarkStart w:id="45" w:name="_Toc31453"/>
      <w:bookmarkStart w:id="46" w:name="_Toc140218839"/>
      <w:bookmarkStart w:id="47" w:name="_Toc32418"/>
      <w:bookmarkStart w:id="48" w:name="_Toc596"/>
      <w:bookmarkStart w:id="49" w:name="_Toc21136"/>
      <w:bookmarkStart w:id="50" w:name="_Toc14757"/>
      <w:bookmarkStart w:id="51" w:name="_Toc31475"/>
      <w:bookmarkStart w:id="52" w:name="_Toc31148"/>
      <w:bookmarkStart w:id="53" w:name="_Toc4500"/>
      <w:bookmarkStart w:id="54" w:name="_Toc7787"/>
      <w:bookmarkEnd w:id="41"/>
      <w:bookmarkEnd w:id="42"/>
      <w:bookmarkEnd w:id="43"/>
      <w:bookmarkEnd w:id="44"/>
      <w:bookmarkEnd w:id="45"/>
      <w:bookmarkEnd w:id="46"/>
    </w:p>
    <w:p w:rsidR="00237D27" w:rsidRDefault="00C831E1" w:rsidP="00BF2D05">
      <w:pPr>
        <w:pStyle w:val="a5"/>
        <w:numPr>
          <w:ilvl w:val="255"/>
          <w:numId w:val="0"/>
        </w:numPr>
        <w:ind w:firstLineChars="200" w:firstLine="420"/>
      </w:pPr>
      <w:r>
        <w:rPr>
          <w:rFonts w:hint="eastAsia"/>
        </w:rPr>
        <w:t>设计数据</w:t>
      </w:r>
      <w:bookmarkEnd w:id="47"/>
      <w:bookmarkEnd w:id="48"/>
      <w:bookmarkEnd w:id="49"/>
      <w:bookmarkEnd w:id="50"/>
      <w:bookmarkEnd w:id="51"/>
      <w:bookmarkEnd w:id="52"/>
      <w:bookmarkEnd w:id="53"/>
      <w:r>
        <w:rPr>
          <w:rFonts w:hint="eastAsia"/>
        </w:rPr>
        <w:t xml:space="preserve"> </w:t>
      </w:r>
      <w:bookmarkEnd w:id="54"/>
      <w:r>
        <w:rPr>
          <w:rFonts w:hint="eastAsia"/>
        </w:rPr>
        <w:t>design data</w:t>
      </w:r>
    </w:p>
    <w:p w:rsidR="00237D27" w:rsidRDefault="00C831E1">
      <w:pPr>
        <w:pStyle w:val="afff2"/>
      </w:pPr>
      <w:r>
        <w:rPr>
          <w:rFonts w:hint="eastAsia"/>
        </w:rPr>
        <w:t>指在核电设计过程中产生的，对企业业务有价值的各类数据，包括但不限于设计输入数据（如规范标准、业主要求）、设计输出数据（如图纸、BOM表、计算报告）、设计过程数据（如评审记录、变更申请）等。</w:t>
      </w:r>
    </w:p>
    <w:p w:rsidR="00237D27" w:rsidRDefault="00237D27">
      <w:pPr>
        <w:pStyle w:val="a5"/>
      </w:pPr>
      <w:bookmarkStart w:id="55" w:name="_Toc26926"/>
      <w:bookmarkStart w:id="56" w:name="_Toc20256"/>
      <w:bookmarkStart w:id="57" w:name="_Toc1760"/>
      <w:bookmarkStart w:id="58" w:name="_Toc28281"/>
      <w:bookmarkStart w:id="59" w:name="_Toc23586"/>
      <w:bookmarkStart w:id="60" w:name="_Toc25610"/>
      <w:bookmarkStart w:id="61" w:name="_Toc10917"/>
    </w:p>
    <w:p w:rsidR="00237D27" w:rsidRDefault="00C831E1" w:rsidP="00BF2D05">
      <w:pPr>
        <w:pStyle w:val="a5"/>
        <w:numPr>
          <w:ilvl w:val="255"/>
          <w:numId w:val="0"/>
        </w:numPr>
        <w:ind w:firstLineChars="200" w:firstLine="420"/>
      </w:pPr>
      <w:r>
        <w:rPr>
          <w:rFonts w:hint="eastAsia"/>
        </w:rPr>
        <w:t>核电工程建设数据</w:t>
      </w:r>
      <w:bookmarkEnd w:id="55"/>
      <w:bookmarkEnd w:id="56"/>
      <w:bookmarkEnd w:id="57"/>
      <w:bookmarkEnd w:id="58"/>
      <w:bookmarkEnd w:id="59"/>
      <w:bookmarkEnd w:id="60"/>
      <w:bookmarkEnd w:id="61"/>
      <w:r>
        <w:rPr>
          <w:rFonts w:hint="eastAsia"/>
        </w:rPr>
        <w:t xml:space="preserve"> </w:t>
      </w:r>
      <w:r>
        <w:rPr>
          <w:rStyle w:val="afff6"/>
          <w:rFonts w:ascii="Segoe UI" w:eastAsia="宋体" w:hAnsi="Segoe UI" w:cs="Segoe UI" w:hint="eastAsia"/>
          <w:bCs/>
          <w:shd w:val="clear" w:color="auto" w:fill="FFFFFF"/>
        </w:rPr>
        <w:t>n</w:t>
      </w:r>
      <w:r>
        <w:rPr>
          <w:rStyle w:val="afff6"/>
          <w:rFonts w:ascii="Segoe UI" w:eastAsia="Segoe UI" w:hAnsi="Segoe UI" w:cs="Segoe UI"/>
          <w:bCs/>
          <w:shd w:val="clear" w:color="auto" w:fill="FFFFFF"/>
        </w:rPr>
        <w:t xml:space="preserve">uclear </w:t>
      </w:r>
      <w:r>
        <w:rPr>
          <w:rStyle w:val="afff6"/>
          <w:rFonts w:ascii="Segoe UI" w:eastAsia="宋体" w:hAnsi="Segoe UI" w:cs="Segoe UI" w:hint="eastAsia"/>
          <w:bCs/>
          <w:shd w:val="clear" w:color="auto" w:fill="FFFFFF"/>
        </w:rPr>
        <w:t>p</w:t>
      </w:r>
      <w:r>
        <w:rPr>
          <w:rStyle w:val="afff6"/>
          <w:rFonts w:ascii="Segoe UI" w:eastAsia="Segoe UI" w:hAnsi="Segoe UI" w:cs="Segoe UI"/>
          <w:bCs/>
          <w:shd w:val="clear" w:color="auto" w:fill="FFFFFF"/>
        </w:rPr>
        <w:t xml:space="preserve">ower </w:t>
      </w:r>
      <w:r>
        <w:rPr>
          <w:rStyle w:val="afff6"/>
          <w:rFonts w:ascii="Segoe UI" w:eastAsia="宋体" w:hAnsi="Segoe UI" w:cs="Segoe UI" w:hint="eastAsia"/>
          <w:bCs/>
          <w:shd w:val="clear" w:color="auto" w:fill="FFFFFF"/>
        </w:rPr>
        <w:t>p</w:t>
      </w:r>
      <w:r>
        <w:rPr>
          <w:rStyle w:val="afff6"/>
          <w:rFonts w:ascii="Segoe UI" w:eastAsia="Segoe UI" w:hAnsi="Segoe UI" w:cs="Segoe UI"/>
          <w:bCs/>
          <w:shd w:val="clear" w:color="auto" w:fill="FFFFFF"/>
        </w:rPr>
        <w:t xml:space="preserve">lant </w:t>
      </w:r>
      <w:r>
        <w:rPr>
          <w:rStyle w:val="afff6"/>
          <w:rFonts w:ascii="Segoe UI" w:eastAsia="宋体" w:hAnsi="Segoe UI" w:cs="Segoe UI" w:hint="eastAsia"/>
          <w:bCs/>
          <w:shd w:val="clear" w:color="auto" w:fill="FFFFFF"/>
        </w:rPr>
        <w:t>c</w:t>
      </w:r>
      <w:r>
        <w:rPr>
          <w:rStyle w:val="afff6"/>
          <w:rFonts w:ascii="Segoe UI" w:eastAsia="Segoe UI" w:hAnsi="Segoe UI" w:cs="Segoe UI"/>
          <w:bCs/>
          <w:shd w:val="clear" w:color="auto" w:fill="FFFFFF"/>
        </w:rPr>
        <w:t xml:space="preserve">onstruction </w:t>
      </w:r>
      <w:r>
        <w:rPr>
          <w:rStyle w:val="afff6"/>
          <w:rFonts w:ascii="Segoe UI" w:eastAsia="宋体" w:hAnsi="Segoe UI" w:cs="Segoe UI" w:hint="eastAsia"/>
          <w:bCs/>
          <w:shd w:val="clear" w:color="auto" w:fill="FFFFFF"/>
        </w:rPr>
        <w:t>d</w:t>
      </w:r>
      <w:r>
        <w:rPr>
          <w:rStyle w:val="afff6"/>
          <w:rFonts w:ascii="Segoe UI" w:eastAsia="Segoe UI" w:hAnsi="Segoe UI" w:cs="Segoe UI"/>
          <w:bCs/>
          <w:shd w:val="clear" w:color="auto" w:fill="FFFFFF"/>
        </w:rPr>
        <w:t>ata</w:t>
      </w:r>
    </w:p>
    <w:p w:rsidR="00237D27" w:rsidRDefault="00C831E1">
      <w:pPr>
        <w:pStyle w:val="afff2"/>
      </w:pPr>
      <w:r>
        <w:rPr>
          <w:rFonts w:hint="eastAsia"/>
        </w:rPr>
        <w:t>在核电工程建设期间，设计、采购、施工和调试阶段产生的设计图纸、设备参数、施工记录等结构化/非结构化数据。</w:t>
      </w:r>
    </w:p>
    <w:p w:rsidR="00237D27" w:rsidRDefault="00237D27">
      <w:pPr>
        <w:pStyle w:val="a5"/>
      </w:pPr>
      <w:bookmarkStart w:id="62" w:name="_Toc5704"/>
      <w:bookmarkStart w:id="63" w:name="_Toc11471"/>
      <w:bookmarkStart w:id="64" w:name="_Toc29217"/>
      <w:bookmarkStart w:id="65" w:name="_Toc8781"/>
      <w:bookmarkStart w:id="66" w:name="_Toc31215"/>
      <w:bookmarkStart w:id="67" w:name="_Toc3536"/>
      <w:bookmarkStart w:id="68" w:name="_Toc22741"/>
    </w:p>
    <w:p w:rsidR="00237D27" w:rsidRDefault="00C831E1" w:rsidP="00BF2D05">
      <w:pPr>
        <w:pStyle w:val="a5"/>
        <w:numPr>
          <w:ilvl w:val="255"/>
          <w:numId w:val="0"/>
        </w:numPr>
        <w:ind w:firstLineChars="200" w:firstLine="420"/>
      </w:pPr>
      <w:r>
        <w:rPr>
          <w:rFonts w:hint="eastAsia"/>
        </w:rPr>
        <w:t>数据标准</w:t>
      </w:r>
      <w:bookmarkEnd w:id="62"/>
      <w:bookmarkEnd w:id="63"/>
      <w:bookmarkEnd w:id="64"/>
      <w:bookmarkEnd w:id="65"/>
      <w:bookmarkEnd w:id="66"/>
      <w:bookmarkEnd w:id="67"/>
      <w:bookmarkEnd w:id="68"/>
      <w:r>
        <w:rPr>
          <w:rFonts w:hint="eastAsia"/>
        </w:rPr>
        <w:t xml:space="preserve">  data standard</w:t>
      </w:r>
    </w:p>
    <w:p w:rsidR="00237D27" w:rsidRDefault="00C831E1">
      <w:pPr>
        <w:pStyle w:val="112"/>
        <w:spacing w:line="240" w:lineRule="auto"/>
        <w:ind w:firstLine="420"/>
        <w:rPr>
          <w:sz w:val="21"/>
          <w:szCs w:val="21"/>
        </w:rPr>
      </w:pPr>
      <w:r>
        <w:rPr>
          <w:rFonts w:hint="eastAsia"/>
          <w:sz w:val="21"/>
          <w:szCs w:val="21"/>
        </w:rPr>
        <w:t>数据的命名、定义、结构和取值的规则。</w:t>
      </w:r>
    </w:p>
    <w:p w:rsidR="00237D27" w:rsidRDefault="00C831E1">
      <w:pPr>
        <w:pStyle w:val="afff2"/>
      </w:pPr>
      <w:r>
        <w:rPr>
          <w:rFonts w:hint="eastAsia"/>
        </w:rPr>
        <w:t>[GB/T 36073-2025 《数据管理能力成熟度评估模型》，3.12]</w:t>
      </w:r>
    </w:p>
    <w:p w:rsidR="00237D27" w:rsidRDefault="00237D27">
      <w:pPr>
        <w:pStyle w:val="a5"/>
      </w:pPr>
      <w:bookmarkStart w:id="69" w:name="_Toc7346"/>
      <w:bookmarkStart w:id="70" w:name="_Toc18662"/>
      <w:bookmarkStart w:id="71" w:name="_Toc29421"/>
      <w:bookmarkStart w:id="72" w:name="_Toc29764"/>
      <w:bookmarkStart w:id="73" w:name="_Toc6867"/>
      <w:bookmarkStart w:id="74" w:name="_Toc30877"/>
      <w:bookmarkStart w:id="75" w:name="_Toc27173"/>
    </w:p>
    <w:p w:rsidR="00237D27" w:rsidRDefault="00C831E1" w:rsidP="00BF2D05">
      <w:pPr>
        <w:pStyle w:val="a5"/>
        <w:numPr>
          <w:ilvl w:val="255"/>
          <w:numId w:val="0"/>
        </w:numPr>
        <w:ind w:firstLineChars="200" w:firstLine="420"/>
      </w:pPr>
      <w:r>
        <w:rPr>
          <w:rFonts w:hint="eastAsia"/>
        </w:rPr>
        <w:t>数据质量  data quality</w:t>
      </w:r>
    </w:p>
    <w:p w:rsidR="00237D27" w:rsidRDefault="00C831E1">
      <w:pPr>
        <w:pStyle w:val="afff2"/>
      </w:pPr>
      <w:r>
        <w:rPr>
          <w:rFonts w:hint="eastAsia"/>
        </w:rPr>
        <w:t>在指定条件下使用时，数据的特性满足明确的和隐含的要求的程度。</w:t>
      </w:r>
    </w:p>
    <w:p w:rsidR="00237D27" w:rsidRDefault="00C831E1">
      <w:pPr>
        <w:pStyle w:val="afff2"/>
      </w:pPr>
      <w:r>
        <w:rPr>
          <w:rFonts w:hint="eastAsia"/>
        </w:rPr>
        <w:t>[GB/T 36073-2025 《数据管理能力成熟度评估模型》，3.15]</w:t>
      </w:r>
    </w:p>
    <w:p w:rsidR="00237D27" w:rsidRDefault="00237D27">
      <w:pPr>
        <w:pStyle w:val="afff2"/>
      </w:pPr>
    </w:p>
    <w:p w:rsidR="00237D27" w:rsidRDefault="00237D27">
      <w:pPr>
        <w:pStyle w:val="a5"/>
      </w:pPr>
    </w:p>
    <w:p w:rsidR="00237D27" w:rsidRDefault="00C831E1" w:rsidP="00BF2D05">
      <w:pPr>
        <w:pStyle w:val="a5"/>
        <w:numPr>
          <w:ilvl w:val="255"/>
          <w:numId w:val="0"/>
        </w:numPr>
        <w:ind w:firstLineChars="200" w:firstLine="420"/>
      </w:pPr>
      <w:r>
        <w:rPr>
          <w:rFonts w:hint="eastAsia"/>
        </w:rPr>
        <w:t>数据安全</w:t>
      </w:r>
      <w:bookmarkEnd w:id="69"/>
      <w:bookmarkEnd w:id="70"/>
      <w:bookmarkEnd w:id="71"/>
      <w:bookmarkEnd w:id="72"/>
      <w:bookmarkEnd w:id="73"/>
      <w:bookmarkEnd w:id="74"/>
      <w:bookmarkEnd w:id="75"/>
      <w:r>
        <w:rPr>
          <w:rFonts w:hint="eastAsia"/>
        </w:rPr>
        <w:t xml:space="preserve">  data security</w:t>
      </w:r>
    </w:p>
    <w:p w:rsidR="00237D27" w:rsidRDefault="00C831E1">
      <w:pPr>
        <w:pStyle w:val="afff2"/>
      </w:pPr>
      <w:r>
        <w:rPr>
          <w:rFonts w:hint="eastAsia"/>
        </w:rPr>
        <w:t>通过采取必要措施，确保数据处于有效保护和合法利用的状态，以及具备保障持续安全状态的</w:t>
      </w:r>
    </w:p>
    <w:p w:rsidR="00237D27" w:rsidRDefault="00C831E1">
      <w:pPr>
        <w:pStyle w:val="afff2"/>
      </w:pPr>
      <w:r>
        <w:rPr>
          <w:rFonts w:hint="eastAsia"/>
        </w:rPr>
        <w:t>能力。</w:t>
      </w:r>
    </w:p>
    <w:p w:rsidR="00237D27" w:rsidRDefault="00C831E1">
      <w:pPr>
        <w:pStyle w:val="afff2"/>
      </w:pPr>
      <w:r>
        <w:rPr>
          <w:rFonts w:hint="eastAsia"/>
        </w:rPr>
        <w:t>[GB/T 36073-2025 《数据管理能力成熟度评估模型》，3.9]</w:t>
      </w:r>
    </w:p>
    <w:p w:rsidR="00237D27" w:rsidRDefault="00237D27">
      <w:pPr>
        <w:pStyle w:val="a5"/>
      </w:pPr>
      <w:bookmarkStart w:id="76" w:name="_Toc25539"/>
      <w:bookmarkStart w:id="77" w:name="_Toc5744"/>
      <w:bookmarkStart w:id="78" w:name="_Toc1073"/>
      <w:bookmarkStart w:id="79" w:name="_Toc11814"/>
      <w:bookmarkStart w:id="80" w:name="_Toc6903"/>
      <w:bookmarkStart w:id="81" w:name="_Toc6425"/>
      <w:bookmarkStart w:id="82" w:name="_Toc30796"/>
      <w:bookmarkStart w:id="83" w:name="_Toc9766"/>
    </w:p>
    <w:p w:rsidR="00237D27" w:rsidRDefault="00C831E1" w:rsidP="00BF2D05">
      <w:pPr>
        <w:pStyle w:val="a5"/>
        <w:numPr>
          <w:ilvl w:val="255"/>
          <w:numId w:val="0"/>
        </w:numPr>
        <w:ind w:firstLineChars="300" w:firstLine="630"/>
      </w:pPr>
      <w:r>
        <w:rPr>
          <w:rFonts w:hint="eastAsia"/>
        </w:rPr>
        <w:t>数据资产目录</w:t>
      </w:r>
      <w:bookmarkEnd w:id="76"/>
      <w:bookmarkEnd w:id="77"/>
      <w:bookmarkEnd w:id="78"/>
      <w:bookmarkEnd w:id="79"/>
      <w:bookmarkEnd w:id="80"/>
      <w:bookmarkEnd w:id="81"/>
      <w:bookmarkEnd w:id="82"/>
      <w:bookmarkEnd w:id="83"/>
      <w:r>
        <w:rPr>
          <w:rFonts w:hint="eastAsia"/>
        </w:rPr>
        <w:t xml:space="preserve"> </w:t>
      </w:r>
      <w:r>
        <w:rPr>
          <w:rStyle w:val="afff6"/>
          <w:rFonts w:ascii="Segoe UI" w:eastAsia="宋体" w:hAnsi="Segoe UI" w:cs="Segoe UI" w:hint="eastAsia"/>
          <w:bCs/>
          <w:shd w:val="clear" w:color="auto" w:fill="FFFFFF"/>
        </w:rPr>
        <w:t>d</w:t>
      </w:r>
      <w:r>
        <w:rPr>
          <w:rStyle w:val="afff6"/>
          <w:rFonts w:ascii="Segoe UI" w:eastAsia="Segoe UI" w:hAnsi="Segoe UI" w:cs="Segoe UI"/>
          <w:bCs/>
          <w:shd w:val="clear" w:color="auto" w:fill="FFFFFF"/>
        </w:rPr>
        <w:t xml:space="preserve">ata </w:t>
      </w:r>
      <w:r>
        <w:rPr>
          <w:rStyle w:val="afff6"/>
          <w:rFonts w:ascii="Segoe UI" w:eastAsia="宋体" w:hAnsi="Segoe UI" w:cs="Segoe UI" w:hint="eastAsia"/>
          <w:bCs/>
          <w:shd w:val="clear" w:color="auto" w:fill="FFFFFF"/>
        </w:rPr>
        <w:t>a</w:t>
      </w:r>
      <w:r>
        <w:rPr>
          <w:rStyle w:val="afff6"/>
          <w:rFonts w:ascii="Segoe UI" w:eastAsia="Segoe UI" w:hAnsi="Segoe UI" w:cs="Segoe UI"/>
          <w:bCs/>
          <w:shd w:val="clear" w:color="auto" w:fill="FFFFFF"/>
        </w:rPr>
        <w:t xml:space="preserve">sset </w:t>
      </w:r>
      <w:r>
        <w:rPr>
          <w:rStyle w:val="afff6"/>
          <w:rFonts w:ascii="Segoe UI" w:eastAsia="宋体" w:hAnsi="Segoe UI" w:cs="Segoe UI" w:hint="eastAsia"/>
          <w:bCs/>
          <w:shd w:val="clear" w:color="auto" w:fill="FFFFFF"/>
        </w:rPr>
        <w:t>c</w:t>
      </w:r>
      <w:r>
        <w:rPr>
          <w:rStyle w:val="afff6"/>
          <w:rFonts w:ascii="Segoe UI" w:eastAsia="Segoe UI" w:hAnsi="Segoe UI" w:cs="Segoe UI"/>
          <w:bCs/>
          <w:shd w:val="clear" w:color="auto" w:fill="FFFFFF"/>
        </w:rPr>
        <w:t>atalog</w:t>
      </w:r>
    </w:p>
    <w:p w:rsidR="00237D27" w:rsidRDefault="00C831E1">
      <w:pPr>
        <w:pStyle w:val="112"/>
        <w:ind w:firstLine="420"/>
        <w:rPr>
          <w:sz w:val="21"/>
          <w:szCs w:val="21"/>
        </w:rPr>
      </w:pPr>
      <w:bookmarkStart w:id="84" w:name="_Toc18965"/>
      <w:r>
        <w:rPr>
          <w:rFonts w:hint="eastAsia"/>
          <w:sz w:val="21"/>
          <w:szCs w:val="21"/>
        </w:rPr>
        <w:lastRenderedPageBreak/>
        <w:t>从核电工程建设全局管理和业务视角，对核电有价值的数据进行分层分类和统一编目，形成核电工程建设统一数据资产地图（包括数据的业务分类及定义、管理责任方、存储位置等信息），以达到对数据资产浏览、查询、理解、获取、利用和管理等目的。</w:t>
      </w:r>
    </w:p>
    <w:p w:rsidR="00237D27" w:rsidRDefault="00237D27">
      <w:pPr>
        <w:pStyle w:val="a5"/>
      </w:pPr>
      <w:bookmarkStart w:id="85" w:name="_Toc10400"/>
      <w:bookmarkStart w:id="86" w:name="_Toc10845"/>
      <w:bookmarkStart w:id="87" w:name="_Toc26325"/>
      <w:bookmarkStart w:id="88" w:name="_Toc235"/>
      <w:bookmarkStart w:id="89" w:name="_Toc31290"/>
      <w:bookmarkStart w:id="90" w:name="_Toc10656"/>
      <w:bookmarkStart w:id="91" w:name="_Toc20435"/>
      <w:bookmarkStart w:id="92" w:name="_Toc44"/>
      <w:bookmarkEnd w:id="84"/>
    </w:p>
    <w:p w:rsidR="00237D27" w:rsidRDefault="00C831E1" w:rsidP="00BF2D05">
      <w:pPr>
        <w:pStyle w:val="a5"/>
        <w:numPr>
          <w:ilvl w:val="255"/>
          <w:numId w:val="0"/>
        </w:numPr>
        <w:ind w:firstLineChars="200" w:firstLine="420"/>
      </w:pPr>
      <w:r>
        <w:rPr>
          <w:rFonts w:hint="eastAsia"/>
        </w:rPr>
        <w:t>数据资产管理</w:t>
      </w:r>
      <w:bookmarkEnd w:id="85"/>
      <w:bookmarkEnd w:id="86"/>
      <w:bookmarkEnd w:id="87"/>
      <w:bookmarkEnd w:id="88"/>
      <w:bookmarkEnd w:id="89"/>
      <w:bookmarkEnd w:id="90"/>
      <w:bookmarkEnd w:id="91"/>
      <w:bookmarkEnd w:id="92"/>
      <w:r>
        <w:rPr>
          <w:rFonts w:hint="eastAsia"/>
        </w:rPr>
        <w:t xml:space="preserve"> </w:t>
      </w:r>
      <w:r>
        <w:rPr>
          <w:rStyle w:val="afff6"/>
          <w:rFonts w:ascii="Segoe UI" w:eastAsia="宋体" w:hAnsi="Segoe UI" w:cs="Segoe UI" w:hint="eastAsia"/>
          <w:bCs/>
          <w:shd w:val="clear" w:color="auto" w:fill="FFFFFF"/>
        </w:rPr>
        <w:t>d</w:t>
      </w:r>
      <w:r>
        <w:rPr>
          <w:rStyle w:val="afff6"/>
          <w:rFonts w:ascii="Segoe UI" w:eastAsia="Segoe UI" w:hAnsi="Segoe UI" w:cs="Segoe UI"/>
          <w:bCs/>
          <w:shd w:val="clear" w:color="auto" w:fill="FFFFFF"/>
        </w:rPr>
        <w:t xml:space="preserve">ata </w:t>
      </w:r>
      <w:r>
        <w:rPr>
          <w:rStyle w:val="afff6"/>
          <w:rFonts w:ascii="Segoe UI" w:eastAsia="宋体" w:hAnsi="Segoe UI" w:cs="Segoe UI" w:hint="eastAsia"/>
          <w:bCs/>
          <w:shd w:val="clear" w:color="auto" w:fill="FFFFFF"/>
        </w:rPr>
        <w:t>a</w:t>
      </w:r>
      <w:r>
        <w:rPr>
          <w:rStyle w:val="afff6"/>
          <w:rFonts w:ascii="Segoe UI" w:eastAsia="Segoe UI" w:hAnsi="Segoe UI" w:cs="Segoe UI"/>
          <w:bCs/>
          <w:shd w:val="clear" w:color="auto" w:fill="FFFFFF"/>
        </w:rPr>
        <w:t>sset</w:t>
      </w:r>
      <w:r>
        <w:rPr>
          <w:rStyle w:val="afff6"/>
          <w:rFonts w:ascii="Segoe UI" w:eastAsia="宋体" w:hAnsi="Segoe UI" w:cs="Segoe UI" w:hint="eastAsia"/>
          <w:bCs/>
          <w:shd w:val="clear" w:color="auto" w:fill="FFFFFF"/>
        </w:rPr>
        <w:t xml:space="preserve"> m</w:t>
      </w:r>
      <w:r>
        <w:rPr>
          <w:rStyle w:val="afff6"/>
          <w:rFonts w:ascii="Segoe UI" w:eastAsia="Segoe UI" w:hAnsi="Segoe UI" w:cs="Segoe UI"/>
          <w:bCs/>
          <w:shd w:val="clear" w:color="auto" w:fill="FFFFFF"/>
        </w:rPr>
        <w:t>anagement</w:t>
      </w:r>
    </w:p>
    <w:p w:rsidR="00237D27" w:rsidRDefault="00C831E1">
      <w:pPr>
        <w:pStyle w:val="112"/>
        <w:ind w:firstLine="420"/>
        <w:rPr>
          <w:sz w:val="21"/>
          <w:szCs w:val="21"/>
        </w:rPr>
      </w:pPr>
      <w:bookmarkStart w:id="93" w:name="_Toc24006"/>
      <w:r>
        <w:rPr>
          <w:sz w:val="21"/>
          <w:szCs w:val="21"/>
        </w:rPr>
        <w:t>将核电工程</w:t>
      </w:r>
      <w:r>
        <w:rPr>
          <w:rFonts w:hint="eastAsia"/>
          <w:sz w:val="21"/>
          <w:szCs w:val="21"/>
        </w:rPr>
        <w:t>建设</w:t>
      </w:r>
      <w:r>
        <w:rPr>
          <w:sz w:val="21"/>
          <w:szCs w:val="21"/>
        </w:rPr>
        <w:t>的数据视为资产进行管理，包括数据资产的盘点、评估、分类和保护，提高数据资产的价值。</w:t>
      </w:r>
    </w:p>
    <w:p w:rsidR="00237D27" w:rsidRDefault="00237D27">
      <w:pPr>
        <w:pStyle w:val="a5"/>
      </w:pPr>
    </w:p>
    <w:p w:rsidR="00237D27" w:rsidRDefault="00C831E1" w:rsidP="00BF2D05">
      <w:pPr>
        <w:pStyle w:val="a5"/>
        <w:numPr>
          <w:ilvl w:val="255"/>
          <w:numId w:val="0"/>
        </w:numPr>
        <w:ind w:firstLineChars="200" w:firstLine="420"/>
      </w:pPr>
      <w:r>
        <w:rPr>
          <w:rFonts w:hint="eastAsia"/>
          <w:lang w:bidi="ar"/>
        </w:rPr>
        <w:t>数据分类分级 data classification</w:t>
      </w:r>
    </w:p>
    <w:p w:rsidR="00237D27" w:rsidRDefault="00C831E1">
      <w:pPr>
        <w:pStyle w:val="112"/>
        <w:ind w:firstLine="420"/>
        <w:rPr>
          <w:rFonts w:ascii="黑体" w:eastAsia="黑体"/>
          <w:kern w:val="0"/>
          <w:sz w:val="21"/>
          <w:szCs w:val="21"/>
          <w:lang w:bidi="ar"/>
        </w:rPr>
      </w:pPr>
      <w:r>
        <w:rPr>
          <w:sz w:val="21"/>
          <w:szCs w:val="21"/>
          <w:lang w:bidi="ar"/>
        </w:rPr>
        <w:t>按照数据的重要程度、敏感程度和使用范围，对数据进行类别划分和级别界定的活动。</w:t>
      </w:r>
    </w:p>
    <w:p w:rsidR="00237D27" w:rsidRDefault="00237D27">
      <w:pPr>
        <w:pStyle w:val="a5"/>
        <w:rPr>
          <w:rFonts w:ascii="Times New Roman" w:eastAsia="宋体"/>
        </w:rPr>
      </w:pPr>
    </w:p>
    <w:p w:rsidR="00237D27" w:rsidRDefault="00C831E1" w:rsidP="00BF2D05">
      <w:pPr>
        <w:pStyle w:val="a5"/>
        <w:numPr>
          <w:ilvl w:val="255"/>
          <w:numId w:val="0"/>
        </w:numPr>
        <w:ind w:firstLineChars="200" w:firstLine="420"/>
        <w:rPr>
          <w:rFonts w:ascii="Times New Roman" w:eastAsia="宋体"/>
        </w:rPr>
      </w:pPr>
      <w:r>
        <w:rPr>
          <w:lang w:bidi="ar"/>
        </w:rPr>
        <w:t>元</w:t>
      </w:r>
      <w:r w:rsidRPr="00BF2D05">
        <w:rPr>
          <w:rFonts w:hint="eastAsia"/>
          <w:lang w:bidi="ar"/>
        </w:rPr>
        <w:t>数据</w:t>
      </w:r>
      <w:r>
        <w:rPr>
          <w:rFonts w:ascii="Times New Roman" w:eastAsia="宋体"/>
        </w:rPr>
        <w:t>metadata</w:t>
      </w:r>
    </w:p>
    <w:p w:rsidR="00237D27" w:rsidRDefault="00C831E1">
      <w:pPr>
        <w:pStyle w:val="112"/>
        <w:ind w:firstLine="420"/>
        <w:rPr>
          <w:sz w:val="21"/>
          <w:szCs w:val="21"/>
        </w:rPr>
      </w:pPr>
      <w:r>
        <w:rPr>
          <w:sz w:val="21"/>
          <w:szCs w:val="21"/>
        </w:rPr>
        <w:t>关于数据或数据元素的数据（可能包括其数据描述</w:t>
      </w:r>
      <w:r>
        <w:rPr>
          <w:sz w:val="21"/>
          <w:szCs w:val="21"/>
        </w:rPr>
        <w:t>)</w:t>
      </w:r>
      <w:r>
        <w:rPr>
          <w:sz w:val="21"/>
          <w:szCs w:val="21"/>
        </w:rPr>
        <w:t>，以及关于数据拥有权、存取路径、访问权和数据易变性的数据。</w:t>
      </w:r>
    </w:p>
    <w:p w:rsidR="00237D27" w:rsidRDefault="00C831E1">
      <w:pPr>
        <w:pStyle w:val="afff2"/>
        <w:rPr>
          <w:rFonts w:ascii="Times New Roman"/>
          <w:szCs w:val="21"/>
        </w:rPr>
      </w:pPr>
      <w:r>
        <w:rPr>
          <w:rFonts w:hint="eastAsia"/>
        </w:rPr>
        <w:t>[GB/T 36073-2025 《数据管理能力成熟度评估模型》，3.13]</w:t>
      </w:r>
    </w:p>
    <w:p w:rsidR="00237D27" w:rsidRDefault="00C831E1">
      <w:pPr>
        <w:pStyle w:val="a4"/>
      </w:pPr>
      <w:bookmarkStart w:id="94" w:name="_Toc2327"/>
      <w:bookmarkStart w:id="95" w:name="_Toc25910"/>
      <w:bookmarkStart w:id="96" w:name="_Toc18556"/>
      <w:bookmarkStart w:id="97" w:name="_Toc140218847"/>
      <w:bookmarkStart w:id="98" w:name="_Toc140218848"/>
      <w:bookmarkStart w:id="99" w:name="_Toc16239"/>
      <w:bookmarkStart w:id="100" w:name="_Toc9113"/>
      <w:bookmarkStart w:id="101" w:name="_Toc140218850"/>
      <w:bookmarkStart w:id="102" w:name="_Toc15860"/>
      <w:bookmarkStart w:id="103" w:name="_Toc6412"/>
      <w:bookmarkEnd w:id="93"/>
      <w:bookmarkEnd w:id="94"/>
      <w:bookmarkEnd w:id="95"/>
      <w:bookmarkEnd w:id="96"/>
      <w:bookmarkEnd w:id="97"/>
      <w:bookmarkEnd w:id="98"/>
      <w:bookmarkEnd w:id="99"/>
      <w:bookmarkEnd w:id="100"/>
      <w:bookmarkEnd w:id="101"/>
      <w:bookmarkEnd w:id="102"/>
      <w:r>
        <w:rPr>
          <w:rFonts w:hint="eastAsia"/>
        </w:rPr>
        <w:t>总体原则</w:t>
      </w:r>
      <w:bookmarkEnd w:id="103"/>
    </w:p>
    <w:p w:rsidR="00237D27" w:rsidRDefault="00C831E1">
      <w:pPr>
        <w:pStyle w:val="a5"/>
      </w:pPr>
      <w:bookmarkStart w:id="104" w:name="_Toc140218853"/>
      <w:bookmarkStart w:id="105" w:name="_Toc7747"/>
      <w:bookmarkStart w:id="106" w:name="_Toc24216"/>
      <w:r>
        <w:rPr>
          <w:rFonts w:hint="eastAsia"/>
        </w:rPr>
        <w:t>概述</w:t>
      </w:r>
      <w:bookmarkEnd w:id="104"/>
      <w:bookmarkEnd w:id="105"/>
      <w:bookmarkEnd w:id="106"/>
    </w:p>
    <w:p w:rsidR="00237D27" w:rsidRDefault="00C831E1">
      <w:pPr>
        <w:spacing w:line="300" w:lineRule="auto"/>
        <w:ind w:firstLineChars="200" w:firstLine="420"/>
        <w:rPr>
          <w:rFonts w:ascii="Arial" w:hAnsi="宋体"/>
          <w:szCs w:val="21"/>
          <w:shd w:val="clear" w:color="auto" w:fill="FFFFFF"/>
        </w:rPr>
      </w:pPr>
      <w:bookmarkStart w:id="107" w:name="_Toc140218854"/>
      <w:bookmarkStart w:id="108" w:name="_Toc19323"/>
      <w:r>
        <w:rPr>
          <w:rFonts w:ascii="Arial" w:hAnsi="宋体" w:hint="eastAsia"/>
          <w:szCs w:val="21"/>
          <w:shd w:val="clear" w:color="auto" w:fill="FFFFFF"/>
        </w:rPr>
        <w:t>核电工程建设数据治理源于核电行业的外部监管要求、内部数据管理需求以及核电工程建设数据应用需求，主要包括：</w:t>
      </w:r>
    </w:p>
    <w:p w:rsidR="00237D27" w:rsidRDefault="00C831E1">
      <w:pPr>
        <w:pStyle w:val="af0"/>
        <w:numPr>
          <w:ilvl w:val="0"/>
          <w:numId w:val="22"/>
        </w:numPr>
        <w:ind w:hanging="420"/>
      </w:pPr>
      <w:r>
        <w:rPr>
          <w:rFonts w:hint="eastAsia"/>
        </w:rPr>
        <w:t>法律法规（如核安全相关法规）、核电行业监管规定和企业内部管</w:t>
      </w:r>
      <w:proofErr w:type="gramStart"/>
      <w:r>
        <w:rPr>
          <w:rFonts w:hint="eastAsia"/>
        </w:rPr>
        <w:t>控要求</w:t>
      </w:r>
      <w:proofErr w:type="gramEnd"/>
      <w:r>
        <w:rPr>
          <w:rFonts w:hint="eastAsia"/>
        </w:rPr>
        <w:t>等对核电工程建设数据及其应用在安全、合</w:t>
      </w:r>
      <w:proofErr w:type="gramStart"/>
      <w:r>
        <w:rPr>
          <w:rFonts w:hint="eastAsia"/>
        </w:rPr>
        <w:t>规</w:t>
      </w:r>
      <w:proofErr w:type="gramEnd"/>
      <w:r>
        <w:rPr>
          <w:rFonts w:hint="eastAsia"/>
        </w:rPr>
        <w:t>方面的要求；</w:t>
      </w:r>
    </w:p>
    <w:p w:rsidR="00237D27" w:rsidRDefault="00C831E1">
      <w:pPr>
        <w:pStyle w:val="af0"/>
        <w:numPr>
          <w:ilvl w:val="0"/>
          <w:numId w:val="22"/>
        </w:numPr>
        <w:ind w:hanging="420"/>
      </w:pPr>
      <w:r>
        <w:rPr>
          <w:rFonts w:hint="eastAsia"/>
        </w:rPr>
        <w:t>核电工程建设数据产品化（如形成标准化数据服务）、资产化（如构建数据资产目录与台账）和价值化（如通过数据驱动决策、优化工程流程等）的要求；</w:t>
      </w:r>
    </w:p>
    <w:p w:rsidR="00237D27" w:rsidRDefault="00C831E1">
      <w:pPr>
        <w:pStyle w:val="af0"/>
        <w:numPr>
          <w:ilvl w:val="0"/>
          <w:numId w:val="22"/>
        </w:numPr>
        <w:ind w:hanging="420"/>
      </w:pPr>
      <w:r>
        <w:rPr>
          <w:rFonts w:hint="eastAsia"/>
        </w:rPr>
        <w:t>核电工程建设数据全生命期管理及应用过程中，数据架构（如核电工程建设数据分层架构设计）、数据模型（如针对核电设备、工艺的数据建模）、数据标准（如核电术语、数据格式标准）、数据质量（如数据准确性、完整性保障）和数据安全（如涉密数据保护、访问权限管控）等体系建设的要求。</w:t>
      </w:r>
    </w:p>
    <w:p w:rsidR="00237D27" w:rsidRDefault="00C831E1">
      <w:pPr>
        <w:pStyle w:val="af0"/>
        <w:numPr>
          <w:ilvl w:val="255"/>
          <w:numId w:val="0"/>
        </w:numPr>
        <w:ind w:firstLineChars="200" w:firstLine="420"/>
      </w:pPr>
      <w:r>
        <w:rPr>
          <w:rFonts w:hint="eastAsia"/>
        </w:rPr>
        <w:t>为支撑本文件数据治理规范的落地实施与成效评价，配套提供《核电工程建设数据治理实施指南》和《数据治理成熟度评估指标》，分别参见附录B、附录C。</w:t>
      </w:r>
    </w:p>
    <w:p w:rsidR="00237D27" w:rsidRDefault="00C831E1">
      <w:pPr>
        <w:pStyle w:val="a5"/>
      </w:pPr>
      <w:bookmarkStart w:id="109" w:name="_Toc26843"/>
      <w:bookmarkEnd w:id="107"/>
      <w:bookmarkEnd w:id="108"/>
      <w:r>
        <w:rPr>
          <w:rFonts w:hint="eastAsia"/>
        </w:rPr>
        <w:t>目标</w:t>
      </w:r>
      <w:bookmarkEnd w:id="109"/>
    </w:p>
    <w:p w:rsidR="00237D27" w:rsidRDefault="00C831E1">
      <w:pPr>
        <w:ind w:firstLineChars="200" w:firstLine="420"/>
        <w:rPr>
          <w:rFonts w:ascii="Arial" w:hAnsi="宋体"/>
          <w:szCs w:val="21"/>
          <w:shd w:val="clear" w:color="auto" w:fill="FFFFFF"/>
        </w:rPr>
      </w:pPr>
      <w:r>
        <w:rPr>
          <w:rFonts w:ascii="Arial" w:hAnsi="宋体" w:hint="eastAsia"/>
          <w:szCs w:val="21"/>
          <w:shd w:val="clear" w:color="auto" w:fill="FFFFFF"/>
        </w:rPr>
        <w:t>核电工程建设数据治理的目标是围绕“数据资产好用、数据质量提升、数据安全可靠”，促进各方高效、准确、安全合</w:t>
      </w:r>
      <w:proofErr w:type="gramStart"/>
      <w:r>
        <w:rPr>
          <w:rFonts w:ascii="Arial" w:hAnsi="宋体" w:hint="eastAsia"/>
          <w:szCs w:val="21"/>
          <w:shd w:val="clear" w:color="auto" w:fill="FFFFFF"/>
        </w:rPr>
        <w:t>规</w:t>
      </w:r>
      <w:proofErr w:type="gramEnd"/>
      <w:r>
        <w:rPr>
          <w:rFonts w:ascii="Arial" w:hAnsi="宋体" w:hint="eastAsia"/>
          <w:szCs w:val="21"/>
          <w:shd w:val="clear" w:color="auto" w:fill="FFFFFF"/>
        </w:rPr>
        <w:t>地利用数据。</w:t>
      </w:r>
    </w:p>
    <w:p w:rsidR="00237D27" w:rsidRDefault="00C831E1">
      <w:pPr>
        <w:ind w:firstLineChars="200" w:firstLine="420"/>
        <w:rPr>
          <w:rFonts w:ascii="Arial" w:hAnsi="宋体"/>
          <w:szCs w:val="21"/>
          <w:shd w:val="clear" w:color="auto" w:fill="FFFFFF"/>
        </w:rPr>
      </w:pPr>
      <w:r>
        <w:rPr>
          <w:rFonts w:ascii="Arial" w:hAnsi="宋体" w:hint="eastAsia"/>
          <w:szCs w:val="21"/>
          <w:shd w:val="clear" w:color="auto" w:fill="FFFFFF"/>
        </w:rPr>
        <w:t>通过建立“责任明确、协同协作”的数据治理组织，健全“清晰全面、合理有效”的数据管理体系</w:t>
      </w:r>
      <w:r>
        <w:rPr>
          <w:rFonts w:ascii="Arial" w:hAnsi="宋体" w:hint="eastAsia"/>
          <w:szCs w:val="21"/>
          <w:shd w:val="clear" w:color="auto" w:fill="FFFFFF"/>
        </w:rPr>
        <w:lastRenderedPageBreak/>
        <w:t>和数据资产管理体系，搭建“功能完备、性能优化”的数据治理平台工具，推动业务的数据化和数据的业务化，以实现数字化转型的战略目标。</w:t>
      </w:r>
    </w:p>
    <w:p w:rsidR="00237D27" w:rsidRDefault="00C831E1">
      <w:pPr>
        <w:pStyle w:val="a5"/>
      </w:pPr>
      <w:bookmarkStart w:id="110" w:name="_Toc8524"/>
      <w:bookmarkStart w:id="111" w:name="_Toc6407"/>
      <w:r>
        <w:rPr>
          <w:rFonts w:hint="eastAsia"/>
        </w:rPr>
        <w:t>任务</w:t>
      </w:r>
      <w:bookmarkEnd w:id="110"/>
      <w:bookmarkEnd w:id="111"/>
    </w:p>
    <w:p w:rsidR="00237D27" w:rsidRDefault="00C831E1">
      <w:pPr>
        <w:ind w:firstLineChars="200" w:firstLine="420"/>
        <w:rPr>
          <w:rFonts w:ascii="Arial" w:hAnsi="宋体"/>
          <w:szCs w:val="21"/>
          <w:shd w:val="clear" w:color="auto" w:fill="FFFFFF"/>
        </w:rPr>
      </w:pPr>
      <w:r>
        <w:rPr>
          <w:rFonts w:ascii="Arial" w:hAnsi="宋体" w:hint="eastAsia"/>
          <w:szCs w:val="21"/>
          <w:shd w:val="clear" w:color="auto" w:fill="FFFFFF"/>
        </w:rPr>
        <w:t>核电工程建设组织应通过评估、指导和监督等方法，按照统筹规划、团队与体系建设、资产盘点、标准制定、落地执行、监控评价以及改进优化等过程，实施核电工程建设数据治理任务，主要包括：</w:t>
      </w:r>
    </w:p>
    <w:p w:rsidR="00237D27" w:rsidRDefault="00C831E1">
      <w:pPr>
        <w:pStyle w:val="af0"/>
        <w:numPr>
          <w:ilvl w:val="0"/>
          <w:numId w:val="23"/>
        </w:numPr>
      </w:pPr>
      <w:r>
        <w:rPr>
          <w:rFonts w:hint="eastAsia"/>
        </w:rPr>
        <w:t>评估核电工程建设数据治理的现状与需求（如现有数据管理水平、业务部门对数据的需求痛点）、核电工程建设数据资源管理能力（如数据采集能力、存储能力）等,形成《数据治理现状评估报告》。</w:t>
      </w:r>
    </w:p>
    <w:p w:rsidR="00237D27" w:rsidRDefault="00C831E1">
      <w:pPr>
        <w:pStyle w:val="af0"/>
        <w:numPr>
          <w:ilvl w:val="0"/>
          <w:numId w:val="23"/>
        </w:numPr>
      </w:pPr>
      <w:r>
        <w:rPr>
          <w:rFonts w:hint="eastAsia"/>
        </w:rPr>
        <w:t>指导核电工程建设数据治理体系的构建（如明确治理组织、角色与职责）、核电工程建设数据治理域的建立和核电工程建设数据治理方案的实施落地（如推动数据治理工具部署、流程落地），编制《数据治理实施方案》。</w:t>
      </w:r>
    </w:p>
    <w:p w:rsidR="00237D27" w:rsidRDefault="00C831E1">
      <w:pPr>
        <w:pStyle w:val="af0"/>
        <w:numPr>
          <w:ilvl w:val="0"/>
          <w:numId w:val="23"/>
        </w:numPr>
      </w:pPr>
      <w:r>
        <w:rPr>
          <w:rFonts w:hint="eastAsia"/>
        </w:rPr>
        <w:t>制定合理的核电工程建设数据治理评价体系与审计规范，监督核电工程建设数据治理内控（如治理流程是否规范）、合</w:t>
      </w:r>
      <w:proofErr w:type="gramStart"/>
      <w:r>
        <w:rPr>
          <w:rFonts w:hint="eastAsia"/>
        </w:rPr>
        <w:t>规</w:t>
      </w:r>
      <w:proofErr w:type="gramEnd"/>
      <w:r>
        <w:rPr>
          <w:rFonts w:hint="eastAsia"/>
        </w:rPr>
        <w:t>（是否符合法规政策）和绩效（如数据质量提升效果），以持续改进核电工程建设数据治理工作。</w:t>
      </w:r>
    </w:p>
    <w:p w:rsidR="00237D27" w:rsidRDefault="00C831E1">
      <w:pPr>
        <w:pStyle w:val="a4"/>
      </w:pPr>
      <w:bookmarkStart w:id="112" w:name="_Toc40268754"/>
      <w:bookmarkStart w:id="113" w:name="_Toc40275550"/>
      <w:bookmarkStart w:id="114" w:name="_Toc140218858"/>
      <w:bookmarkStart w:id="115" w:name="_Toc7941"/>
      <w:bookmarkStart w:id="116" w:name="_Toc40278001"/>
      <w:bookmarkStart w:id="117" w:name="_Toc31356"/>
      <w:r>
        <w:rPr>
          <w:rFonts w:hint="eastAsia"/>
        </w:rPr>
        <w:t>数据</w:t>
      </w:r>
      <w:bookmarkEnd w:id="112"/>
      <w:bookmarkEnd w:id="113"/>
      <w:bookmarkEnd w:id="114"/>
      <w:bookmarkEnd w:id="115"/>
      <w:bookmarkEnd w:id="116"/>
      <w:r>
        <w:rPr>
          <w:rFonts w:hint="eastAsia"/>
        </w:rPr>
        <w:t>治理框架</w:t>
      </w:r>
      <w:bookmarkEnd w:id="117"/>
    </w:p>
    <w:p w:rsidR="00237D27" w:rsidRDefault="00C831E1">
      <w:pPr>
        <w:pStyle w:val="112"/>
        <w:spacing w:line="240" w:lineRule="auto"/>
        <w:ind w:firstLine="420"/>
        <w:rPr>
          <w:sz w:val="21"/>
          <w:szCs w:val="21"/>
        </w:rPr>
      </w:pPr>
      <w:r>
        <w:rPr>
          <w:rFonts w:hint="eastAsia"/>
          <w:sz w:val="21"/>
          <w:szCs w:val="21"/>
        </w:rPr>
        <w:t>核电工程建设数据治理框架如图</w:t>
      </w:r>
      <w:r>
        <w:rPr>
          <w:rFonts w:hint="eastAsia"/>
          <w:sz w:val="21"/>
          <w:szCs w:val="21"/>
        </w:rPr>
        <w:t>1</w:t>
      </w:r>
      <w:r>
        <w:rPr>
          <w:rFonts w:hint="eastAsia"/>
          <w:sz w:val="21"/>
          <w:szCs w:val="21"/>
        </w:rPr>
        <w:t>所示，包含顶层设计、数据治理架构、数据治理域、数据治理过程以及组织支撑和工具支撑等部分。</w:t>
      </w:r>
    </w:p>
    <w:p w:rsidR="00237D27" w:rsidRDefault="00C831E1">
      <w:pPr>
        <w:pStyle w:val="112"/>
        <w:ind w:firstLineChars="0" w:firstLine="0"/>
        <w:jc w:val="center"/>
      </w:pPr>
      <w:r>
        <w:rPr>
          <w:noProof/>
        </w:rPr>
        <w:drawing>
          <wp:inline distT="0" distB="0" distL="114300" distR="114300" wp14:anchorId="5B19275C" wp14:editId="6F07CDF5">
            <wp:extent cx="3968115" cy="3682365"/>
            <wp:effectExtent l="0" t="0" r="13335" b="1333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5"/>
                    <a:stretch>
                      <a:fillRect/>
                    </a:stretch>
                  </pic:blipFill>
                  <pic:spPr>
                    <a:xfrm>
                      <a:off x="0" y="0"/>
                      <a:ext cx="3968115" cy="3682365"/>
                    </a:xfrm>
                    <a:prstGeom prst="rect">
                      <a:avLst/>
                    </a:prstGeom>
                    <a:noFill/>
                    <a:ln>
                      <a:noFill/>
                    </a:ln>
                  </pic:spPr>
                </pic:pic>
              </a:graphicData>
            </a:graphic>
          </wp:inline>
        </w:drawing>
      </w:r>
    </w:p>
    <w:p w:rsidR="00237D27" w:rsidRPr="00C831E1" w:rsidRDefault="00C831E1">
      <w:pPr>
        <w:pStyle w:val="112"/>
        <w:ind w:firstLineChars="0" w:firstLine="0"/>
        <w:jc w:val="center"/>
        <w:rPr>
          <w:rFonts w:ascii="黑体" w:eastAsia="黑体" w:hAnsi="黑体" w:cs="黑体"/>
          <w:sz w:val="21"/>
          <w:szCs w:val="21"/>
        </w:rPr>
      </w:pPr>
      <w:r w:rsidRPr="00C831E1">
        <w:rPr>
          <w:rFonts w:ascii="黑体" w:eastAsia="黑体" w:hAnsi="黑体" w:cs="黑体" w:hint="eastAsia"/>
          <w:sz w:val="21"/>
          <w:szCs w:val="21"/>
        </w:rPr>
        <w:t>图1</w:t>
      </w:r>
      <w:r w:rsidRPr="00C831E1">
        <w:rPr>
          <w:rFonts w:ascii="黑体" w:eastAsia="黑体" w:hAnsi="黑体" w:cs="黑体"/>
          <w:sz w:val="21"/>
          <w:szCs w:val="21"/>
        </w:rPr>
        <w:t xml:space="preserve"> </w:t>
      </w:r>
      <w:r w:rsidRPr="00C831E1">
        <w:rPr>
          <w:rFonts w:ascii="黑体" w:eastAsia="黑体" w:hAnsi="黑体" w:cs="黑体" w:hint="eastAsia"/>
          <w:sz w:val="21"/>
          <w:szCs w:val="21"/>
        </w:rPr>
        <w:t>数据治理框架</w:t>
      </w:r>
    </w:p>
    <w:p w:rsidR="00237D27" w:rsidRDefault="00C831E1">
      <w:pPr>
        <w:pStyle w:val="112"/>
        <w:spacing w:line="240" w:lineRule="auto"/>
        <w:ind w:firstLine="420"/>
        <w:rPr>
          <w:sz w:val="21"/>
          <w:szCs w:val="21"/>
        </w:rPr>
      </w:pPr>
      <w:r>
        <w:rPr>
          <w:rFonts w:hint="eastAsia"/>
          <w:sz w:val="21"/>
          <w:szCs w:val="21"/>
        </w:rPr>
        <w:t>顶层设计包含数据治理相关的战略和目标，是数据治理实施的指导和基础，为数据治理的实施提供了战略方向和整体框架，确保各项措施和行动能够协调一致地实现预定的目标。</w:t>
      </w:r>
    </w:p>
    <w:p w:rsidR="00237D27" w:rsidRDefault="00C831E1">
      <w:pPr>
        <w:pStyle w:val="112"/>
        <w:spacing w:line="240" w:lineRule="auto"/>
        <w:ind w:firstLine="420"/>
        <w:rPr>
          <w:sz w:val="21"/>
          <w:szCs w:val="21"/>
        </w:rPr>
      </w:pPr>
      <w:r>
        <w:rPr>
          <w:rFonts w:hint="eastAsia"/>
          <w:sz w:val="21"/>
          <w:szCs w:val="21"/>
        </w:rPr>
        <w:lastRenderedPageBreak/>
        <w:t>数据治理基于</w:t>
      </w:r>
      <w:r>
        <w:rPr>
          <w:rFonts w:hint="eastAsia"/>
          <w:sz w:val="21"/>
          <w:szCs w:val="21"/>
        </w:rPr>
        <w:t>4A</w:t>
      </w:r>
      <w:r>
        <w:rPr>
          <w:rFonts w:hint="eastAsia"/>
          <w:sz w:val="21"/>
          <w:szCs w:val="21"/>
        </w:rPr>
        <w:t>架构方法论开展架构设计，包括业务架构、数据架构、应用架构和技术架构，架构定义了一套</w:t>
      </w:r>
      <w:proofErr w:type="gramStart"/>
      <w:r>
        <w:rPr>
          <w:rFonts w:hint="eastAsia"/>
          <w:sz w:val="21"/>
          <w:szCs w:val="21"/>
        </w:rPr>
        <w:t>”</w:t>
      </w:r>
      <w:proofErr w:type="gramEnd"/>
      <w:r>
        <w:rPr>
          <w:rFonts w:hint="eastAsia"/>
          <w:sz w:val="21"/>
          <w:szCs w:val="21"/>
        </w:rPr>
        <w:t>通用的语言</w:t>
      </w:r>
      <w:proofErr w:type="gramStart"/>
      <w:r>
        <w:rPr>
          <w:rFonts w:hint="eastAsia"/>
          <w:sz w:val="21"/>
          <w:szCs w:val="21"/>
        </w:rPr>
        <w:t>”</w:t>
      </w:r>
      <w:proofErr w:type="gramEnd"/>
      <w:r>
        <w:rPr>
          <w:rFonts w:hint="eastAsia"/>
          <w:sz w:val="21"/>
          <w:szCs w:val="21"/>
        </w:rPr>
        <w:t>，来描述业务、数据、应用和技术等，是业务流程、数据、应用系统和</w:t>
      </w:r>
      <w:r>
        <w:rPr>
          <w:rFonts w:hint="eastAsia"/>
          <w:sz w:val="21"/>
          <w:szCs w:val="21"/>
        </w:rPr>
        <w:t>IT</w:t>
      </w:r>
      <w:r>
        <w:rPr>
          <w:rFonts w:hint="eastAsia"/>
          <w:sz w:val="21"/>
          <w:szCs w:val="21"/>
        </w:rPr>
        <w:t>技术的工作指引。</w:t>
      </w:r>
    </w:p>
    <w:p w:rsidR="00237D27" w:rsidRDefault="00C831E1">
      <w:pPr>
        <w:pStyle w:val="112"/>
        <w:spacing w:line="240" w:lineRule="auto"/>
        <w:ind w:firstLine="420"/>
        <w:rPr>
          <w:sz w:val="21"/>
          <w:szCs w:val="21"/>
        </w:rPr>
      </w:pPr>
      <w:r>
        <w:rPr>
          <w:rFonts w:hint="eastAsia"/>
          <w:sz w:val="21"/>
          <w:szCs w:val="21"/>
        </w:rPr>
        <w:t>数据治理域包含数据管理体系和数据资产管理体系，是数据治理实施的对象。</w:t>
      </w:r>
    </w:p>
    <w:p w:rsidR="00237D27" w:rsidRDefault="00C831E1">
      <w:pPr>
        <w:pStyle w:val="112"/>
        <w:spacing w:line="240" w:lineRule="auto"/>
        <w:ind w:firstLine="420"/>
        <w:rPr>
          <w:sz w:val="21"/>
          <w:szCs w:val="21"/>
        </w:rPr>
      </w:pPr>
      <w:r>
        <w:rPr>
          <w:rFonts w:hint="eastAsia"/>
          <w:sz w:val="21"/>
          <w:szCs w:val="21"/>
        </w:rPr>
        <w:t>数据治理过程包含统筹和规划、团队及体系建设、资产盘点、标准制定、落地执行、监控和评价、改进与优化，并通过持续改进形成闭环管理，确保数据治理的高效性和</w:t>
      </w:r>
      <w:proofErr w:type="gramStart"/>
      <w:r>
        <w:rPr>
          <w:rFonts w:hint="eastAsia"/>
          <w:sz w:val="21"/>
          <w:szCs w:val="21"/>
        </w:rPr>
        <w:t>可</w:t>
      </w:r>
      <w:proofErr w:type="gramEnd"/>
      <w:r>
        <w:rPr>
          <w:rFonts w:hint="eastAsia"/>
          <w:sz w:val="21"/>
          <w:szCs w:val="21"/>
        </w:rPr>
        <w:t>持续性。</w:t>
      </w:r>
      <w:r>
        <w:rPr>
          <w:rFonts w:hint="eastAsia"/>
          <w:sz w:val="21"/>
          <w:szCs w:val="21"/>
        </w:rPr>
        <w:t xml:space="preserve"> </w:t>
      </w:r>
    </w:p>
    <w:p w:rsidR="00237D27" w:rsidRDefault="00C831E1">
      <w:pPr>
        <w:pStyle w:val="112"/>
        <w:spacing w:line="240" w:lineRule="auto"/>
        <w:ind w:firstLine="420"/>
        <w:rPr>
          <w:sz w:val="21"/>
          <w:szCs w:val="21"/>
        </w:rPr>
      </w:pPr>
      <w:r>
        <w:rPr>
          <w:rFonts w:hint="eastAsia"/>
          <w:sz w:val="21"/>
          <w:szCs w:val="21"/>
        </w:rPr>
        <w:t>组织支撑包括建立治理组织架构、明确职责分工、制定协作机制和培养专业人才，支撑业务、技术、管理高效协同，是数据治理落地的组织保障。</w:t>
      </w:r>
    </w:p>
    <w:p w:rsidR="00237D27" w:rsidRDefault="00C831E1">
      <w:pPr>
        <w:pStyle w:val="112"/>
        <w:spacing w:line="240" w:lineRule="auto"/>
        <w:ind w:firstLine="420"/>
        <w:rPr>
          <w:sz w:val="21"/>
          <w:szCs w:val="21"/>
        </w:rPr>
      </w:pPr>
      <w:r>
        <w:rPr>
          <w:rFonts w:hint="eastAsia"/>
          <w:sz w:val="21"/>
          <w:szCs w:val="21"/>
        </w:rPr>
        <w:t>工具支撑包含基础能力类、智能技术类、平台体系类及支持工具链等，是数据治理实施落地的技术保障。</w:t>
      </w:r>
    </w:p>
    <w:p w:rsidR="00237D27" w:rsidRDefault="00C831E1">
      <w:pPr>
        <w:pStyle w:val="a4"/>
      </w:pPr>
      <w:bookmarkStart w:id="118" w:name="_Toc17871"/>
      <w:r>
        <w:rPr>
          <w:rFonts w:hint="eastAsia"/>
        </w:rPr>
        <w:t>战略规划</w:t>
      </w:r>
      <w:bookmarkEnd w:id="118"/>
    </w:p>
    <w:p w:rsidR="00237D27" w:rsidRDefault="00C831E1">
      <w:pPr>
        <w:ind w:firstLineChars="200" w:firstLine="420"/>
        <w:rPr>
          <w:rFonts w:ascii="Arial" w:hAnsi="宋体"/>
          <w:szCs w:val="21"/>
          <w:shd w:val="clear" w:color="auto" w:fill="FFFFFF"/>
        </w:rPr>
      </w:pPr>
      <w:r>
        <w:rPr>
          <w:rFonts w:ascii="Arial" w:hAnsi="宋体" w:hint="eastAsia"/>
          <w:szCs w:val="21"/>
          <w:shd w:val="clear" w:color="auto" w:fill="FFFFFF"/>
        </w:rPr>
        <w:t>目标设定：明确核电工程建设数据治理的长期目标和短期目标，例如提高数据的准确性、完整性和及时性，支持核电项目的安全运营和高效管理。</w:t>
      </w:r>
    </w:p>
    <w:p w:rsidR="00237D27" w:rsidRDefault="00C831E1">
      <w:pPr>
        <w:pStyle w:val="afff3"/>
        <w:ind w:firstLineChars="200" w:firstLine="420"/>
        <w:jc w:val="both"/>
        <w:rPr>
          <w:rFonts w:ascii="宋体" w:hAnsi="Courier New"/>
          <w:kern w:val="2"/>
          <w:sz w:val="21"/>
          <w:szCs w:val="21"/>
        </w:rPr>
      </w:pPr>
      <w:r>
        <w:rPr>
          <w:rFonts w:ascii="宋体" w:hAnsi="宋体" w:cs="宋体" w:hint="eastAsia"/>
          <w:kern w:val="2"/>
          <w:sz w:val="21"/>
          <w:szCs w:val="21"/>
          <w:lang w:bidi="ar"/>
        </w:rPr>
        <w:t>路线图制定：制定详细的数据治理路线图，包括各个阶段的任务、资源分配及关键里程碑，如：</w:t>
      </w:r>
    </w:p>
    <w:p w:rsidR="00237D27" w:rsidRDefault="00C831E1">
      <w:pPr>
        <w:pStyle w:val="af0"/>
        <w:numPr>
          <w:ilvl w:val="0"/>
          <w:numId w:val="24"/>
        </w:numPr>
        <w:rPr>
          <w:rFonts w:hAnsi="Courier New"/>
          <w:kern w:val="2"/>
          <w:szCs w:val="21"/>
        </w:rPr>
      </w:pPr>
      <w:r>
        <w:rPr>
          <w:rFonts w:hAnsi="宋体" w:cs="宋体" w:hint="eastAsia"/>
          <w:kern w:val="2"/>
          <w:szCs w:val="21"/>
          <w:lang w:bidi="ar"/>
        </w:rPr>
        <w:t>设计阶段：完成设计数据标准制定与设计数据资产盘点；</w:t>
      </w:r>
    </w:p>
    <w:p w:rsidR="00237D27" w:rsidRDefault="00C831E1">
      <w:pPr>
        <w:pStyle w:val="af0"/>
        <w:numPr>
          <w:ilvl w:val="0"/>
          <w:numId w:val="24"/>
        </w:numPr>
        <w:rPr>
          <w:rFonts w:hAnsi="Courier New"/>
          <w:kern w:val="2"/>
          <w:szCs w:val="21"/>
        </w:rPr>
      </w:pPr>
      <w:r>
        <w:rPr>
          <w:rFonts w:hAnsi="宋体" w:cs="宋体" w:hint="eastAsia"/>
          <w:kern w:val="2"/>
          <w:szCs w:val="21"/>
          <w:lang w:bidi="ar"/>
        </w:rPr>
        <w:t>采购阶段：建立设备采购数据共享规范；</w:t>
      </w:r>
    </w:p>
    <w:p w:rsidR="00237D27" w:rsidRDefault="00C831E1">
      <w:pPr>
        <w:pStyle w:val="af0"/>
        <w:numPr>
          <w:ilvl w:val="0"/>
          <w:numId w:val="24"/>
        </w:numPr>
        <w:rPr>
          <w:rFonts w:hAnsi="Courier New"/>
          <w:kern w:val="2"/>
          <w:szCs w:val="21"/>
        </w:rPr>
      </w:pPr>
      <w:r>
        <w:rPr>
          <w:rFonts w:hAnsi="宋体" w:cs="宋体" w:hint="eastAsia"/>
          <w:kern w:val="2"/>
          <w:szCs w:val="21"/>
          <w:lang w:bidi="ar"/>
        </w:rPr>
        <w:t>施工阶段：实现施工过程数据质量监控与标准化采集；</w:t>
      </w:r>
    </w:p>
    <w:p w:rsidR="00237D27" w:rsidRDefault="00C831E1">
      <w:pPr>
        <w:pStyle w:val="af0"/>
        <w:numPr>
          <w:ilvl w:val="0"/>
          <w:numId w:val="24"/>
        </w:numPr>
        <w:rPr>
          <w:rFonts w:hAnsi="Courier New"/>
          <w:kern w:val="2"/>
          <w:szCs w:val="21"/>
        </w:rPr>
      </w:pPr>
      <w:r>
        <w:rPr>
          <w:rFonts w:hAnsi="宋体" w:cs="宋体" w:hint="eastAsia"/>
          <w:kern w:val="2"/>
          <w:szCs w:val="21"/>
          <w:lang w:bidi="ar"/>
        </w:rPr>
        <w:t>调试阶段：建立调试数据模型与调试数据质量控制体系；</w:t>
      </w:r>
    </w:p>
    <w:p w:rsidR="00237D27" w:rsidRDefault="00C831E1">
      <w:pPr>
        <w:pStyle w:val="afff3"/>
        <w:jc w:val="both"/>
      </w:pPr>
      <w:r>
        <w:rPr>
          <w:rFonts w:ascii="宋体" w:hAnsi="宋体" w:cs="宋体" w:hint="eastAsia"/>
          <w:kern w:val="2"/>
          <w:sz w:val="21"/>
          <w:szCs w:val="21"/>
          <w:lang w:bidi="ar"/>
        </w:rPr>
        <w:t>利益相关者分析：识别核电工程建设中的关键利益相关者，如项目管理者、工程师、运营人员等，并分析他们对数据的需求和期望。</w:t>
      </w:r>
    </w:p>
    <w:p w:rsidR="00237D27" w:rsidRDefault="00237D27">
      <w:pPr>
        <w:pStyle w:val="aff3"/>
      </w:pPr>
    </w:p>
    <w:p w:rsidR="00237D27" w:rsidRDefault="00C831E1">
      <w:pPr>
        <w:pStyle w:val="a4"/>
      </w:pPr>
      <w:bookmarkStart w:id="119" w:name="_Toc994"/>
      <w:r>
        <w:rPr>
          <w:rFonts w:hint="eastAsia"/>
        </w:rPr>
        <w:t>组织构建</w:t>
      </w:r>
      <w:bookmarkEnd w:id="119"/>
    </w:p>
    <w:p w:rsidR="00237D27" w:rsidRDefault="00C831E1">
      <w:pPr>
        <w:pStyle w:val="a5"/>
        <w:rPr>
          <w:rFonts w:hAnsi="黑体" w:cs="黑体"/>
          <w:lang w:bidi="zh-CN"/>
        </w:rPr>
      </w:pPr>
      <w:bookmarkStart w:id="120" w:name="_Toc15220"/>
      <w:bookmarkStart w:id="121" w:name="_Toc11059"/>
      <w:r>
        <w:rPr>
          <w:rFonts w:hAnsi="黑体" w:cs="黑体" w:hint="eastAsia"/>
          <w:lang w:bidi="zh-CN"/>
        </w:rPr>
        <w:t>数据治理管理组织构建</w:t>
      </w:r>
      <w:bookmarkEnd w:id="120"/>
      <w:bookmarkEnd w:id="121"/>
    </w:p>
    <w:p w:rsidR="00237D27" w:rsidRDefault="00C831E1">
      <w:pPr>
        <w:ind w:firstLineChars="200" w:firstLine="420"/>
        <w:rPr>
          <w:rFonts w:ascii="Arial" w:hAnsi="宋体"/>
          <w:szCs w:val="21"/>
          <w:shd w:val="clear" w:color="auto" w:fill="FFFFFF"/>
        </w:rPr>
      </w:pPr>
      <w:r>
        <w:rPr>
          <w:rFonts w:ascii="Arial" w:hAnsi="宋体" w:hint="eastAsia"/>
          <w:szCs w:val="21"/>
          <w:shd w:val="clear" w:color="auto" w:fill="FFFFFF"/>
        </w:rPr>
        <w:t>数据治理的管理组织是为了对数据治理的各项活动进行有效管控，确保数据治理各项活动的有序开展；数据治理的管理组织至少包含：</w:t>
      </w:r>
    </w:p>
    <w:p w:rsidR="00237D27" w:rsidRDefault="00C831E1">
      <w:pPr>
        <w:ind w:firstLineChars="200" w:firstLine="420"/>
        <w:rPr>
          <w:rFonts w:ascii="Arial" w:hAnsi="宋体"/>
          <w:szCs w:val="21"/>
          <w:shd w:val="clear" w:color="auto" w:fill="FFFFFF"/>
        </w:rPr>
      </w:pPr>
      <w:r>
        <w:rPr>
          <w:rFonts w:ascii="Arial" w:hAnsi="宋体" w:hint="eastAsia"/>
          <w:szCs w:val="21"/>
          <w:shd w:val="clear" w:color="auto" w:fill="FFFFFF"/>
        </w:rPr>
        <w:t>决策层：负责制</w:t>
      </w:r>
      <w:proofErr w:type="gramStart"/>
      <w:r>
        <w:rPr>
          <w:rFonts w:ascii="Arial" w:hAnsi="宋体" w:hint="eastAsia"/>
          <w:szCs w:val="21"/>
          <w:shd w:val="clear" w:color="auto" w:fill="FFFFFF"/>
        </w:rPr>
        <w:t>定数据</w:t>
      </w:r>
      <w:proofErr w:type="gramEnd"/>
      <w:r>
        <w:rPr>
          <w:rFonts w:ascii="Arial" w:hAnsi="宋体" w:hint="eastAsia"/>
          <w:szCs w:val="21"/>
          <w:shd w:val="clear" w:color="auto" w:fill="FFFFFF"/>
        </w:rPr>
        <w:t>治理战略目标，</w:t>
      </w:r>
      <w:r>
        <w:rPr>
          <w:rFonts w:ascii="Arial" w:hAnsi="宋体" w:hint="eastAsia"/>
          <w:szCs w:val="21"/>
          <w:shd w:val="clear" w:color="auto" w:fill="FFFFFF"/>
        </w:rPr>
        <w:t xml:space="preserve"> </w:t>
      </w:r>
      <w:r>
        <w:rPr>
          <w:rFonts w:ascii="Arial" w:hAnsi="宋体" w:hint="eastAsia"/>
          <w:szCs w:val="21"/>
          <w:shd w:val="clear" w:color="auto" w:fill="FFFFFF"/>
        </w:rPr>
        <w:t>审批决策数据治理领域重大事项，</w:t>
      </w:r>
      <w:r>
        <w:rPr>
          <w:rFonts w:ascii="Arial" w:hAnsi="宋体" w:hint="eastAsia"/>
          <w:szCs w:val="21"/>
          <w:shd w:val="clear" w:color="auto" w:fill="FFFFFF"/>
        </w:rPr>
        <w:t xml:space="preserve"> </w:t>
      </w:r>
      <w:r>
        <w:rPr>
          <w:rFonts w:ascii="Arial" w:hAnsi="宋体" w:hint="eastAsia"/>
          <w:szCs w:val="21"/>
          <w:shd w:val="clear" w:color="auto" w:fill="FFFFFF"/>
        </w:rPr>
        <w:t>协调指导数据治理相关工作等。</w:t>
      </w:r>
      <w:r>
        <w:rPr>
          <w:rFonts w:ascii="Arial" w:hAnsi="宋体" w:hint="eastAsia"/>
          <w:szCs w:val="21"/>
          <w:shd w:val="clear" w:color="auto" w:fill="FFFFFF"/>
        </w:rPr>
        <w:t xml:space="preserve"> </w:t>
      </w:r>
    </w:p>
    <w:p w:rsidR="00237D27" w:rsidRDefault="00C831E1">
      <w:pPr>
        <w:ind w:firstLineChars="200" w:firstLine="420"/>
        <w:rPr>
          <w:rFonts w:ascii="Arial" w:hAnsi="宋体"/>
          <w:szCs w:val="21"/>
          <w:shd w:val="clear" w:color="auto" w:fill="FFFFFF"/>
        </w:rPr>
      </w:pPr>
      <w:r>
        <w:rPr>
          <w:rFonts w:ascii="Arial" w:hAnsi="宋体" w:hint="eastAsia"/>
          <w:szCs w:val="21"/>
          <w:shd w:val="clear" w:color="auto" w:fill="FFFFFF"/>
        </w:rPr>
        <w:t>管理层：负责建立和完善数据治理体系，</w:t>
      </w:r>
      <w:r>
        <w:rPr>
          <w:rFonts w:ascii="Arial" w:hAnsi="宋体" w:hint="eastAsia"/>
          <w:szCs w:val="21"/>
          <w:shd w:val="clear" w:color="auto" w:fill="FFFFFF"/>
        </w:rPr>
        <w:t xml:space="preserve"> </w:t>
      </w:r>
      <w:r>
        <w:rPr>
          <w:rFonts w:ascii="Arial" w:hAnsi="宋体" w:hint="eastAsia"/>
          <w:szCs w:val="21"/>
          <w:shd w:val="clear" w:color="auto" w:fill="FFFFFF"/>
        </w:rPr>
        <w:t>统筹制定数据治理实施计划，</w:t>
      </w:r>
      <w:r>
        <w:rPr>
          <w:rFonts w:ascii="Arial" w:hAnsi="宋体" w:hint="eastAsia"/>
          <w:szCs w:val="21"/>
          <w:shd w:val="clear" w:color="auto" w:fill="FFFFFF"/>
        </w:rPr>
        <w:t xml:space="preserve"> </w:t>
      </w:r>
      <w:r>
        <w:rPr>
          <w:rFonts w:ascii="Arial" w:hAnsi="宋体" w:hint="eastAsia"/>
          <w:szCs w:val="21"/>
          <w:shd w:val="clear" w:color="auto" w:fill="FFFFFF"/>
        </w:rPr>
        <w:t>开展数据质量评价和数据安全风险评估等。</w:t>
      </w:r>
      <w:r>
        <w:rPr>
          <w:rFonts w:ascii="Arial" w:hAnsi="宋体" w:hint="eastAsia"/>
          <w:szCs w:val="21"/>
          <w:shd w:val="clear" w:color="auto" w:fill="FFFFFF"/>
        </w:rPr>
        <w:t xml:space="preserve"> </w:t>
      </w:r>
    </w:p>
    <w:p w:rsidR="00237D27" w:rsidRDefault="00C831E1">
      <w:pPr>
        <w:ind w:firstLineChars="200" w:firstLine="420"/>
        <w:rPr>
          <w:szCs w:val="21"/>
        </w:rPr>
      </w:pPr>
      <w:r>
        <w:rPr>
          <w:rFonts w:ascii="Arial" w:hAnsi="宋体" w:hint="eastAsia"/>
          <w:szCs w:val="21"/>
          <w:shd w:val="clear" w:color="auto" w:fill="FFFFFF"/>
        </w:rPr>
        <w:t>执行层：负责落实数据战略和数据治理计划要求，</w:t>
      </w:r>
      <w:r>
        <w:rPr>
          <w:rFonts w:ascii="Arial" w:hAnsi="宋体" w:hint="eastAsia"/>
          <w:szCs w:val="21"/>
          <w:shd w:val="clear" w:color="auto" w:fill="FFFFFF"/>
        </w:rPr>
        <w:t xml:space="preserve"> </w:t>
      </w:r>
      <w:r>
        <w:rPr>
          <w:rFonts w:ascii="Arial" w:hAnsi="宋体" w:hint="eastAsia"/>
          <w:szCs w:val="21"/>
          <w:shd w:val="clear" w:color="auto" w:fill="FFFFFF"/>
        </w:rPr>
        <w:t>严格管</w:t>
      </w:r>
      <w:proofErr w:type="gramStart"/>
      <w:r>
        <w:rPr>
          <w:rFonts w:ascii="Arial" w:hAnsi="宋体" w:hint="eastAsia"/>
          <w:szCs w:val="21"/>
          <w:shd w:val="clear" w:color="auto" w:fill="FFFFFF"/>
        </w:rPr>
        <w:t>控业务</w:t>
      </w:r>
      <w:proofErr w:type="gramEnd"/>
      <w:r>
        <w:rPr>
          <w:rFonts w:ascii="Arial" w:hAnsi="宋体" w:hint="eastAsia"/>
          <w:szCs w:val="21"/>
          <w:shd w:val="clear" w:color="auto" w:fill="FFFFFF"/>
        </w:rPr>
        <w:t>数据源，</w:t>
      </w:r>
      <w:r>
        <w:rPr>
          <w:rFonts w:ascii="Arial" w:hAnsi="宋体" w:hint="eastAsia"/>
          <w:szCs w:val="21"/>
          <w:shd w:val="clear" w:color="auto" w:fill="FFFFFF"/>
        </w:rPr>
        <w:t xml:space="preserve"> </w:t>
      </w:r>
      <w:r>
        <w:rPr>
          <w:rFonts w:ascii="Arial" w:hAnsi="宋体" w:hint="eastAsia"/>
          <w:szCs w:val="21"/>
          <w:shd w:val="clear" w:color="auto" w:fill="FFFFFF"/>
        </w:rPr>
        <w:t>确保数据被准确、</w:t>
      </w:r>
      <w:r>
        <w:rPr>
          <w:rFonts w:ascii="Arial" w:hAnsi="宋体" w:hint="eastAsia"/>
          <w:szCs w:val="21"/>
          <w:shd w:val="clear" w:color="auto" w:fill="FFFFFF"/>
        </w:rPr>
        <w:t xml:space="preserve"> </w:t>
      </w:r>
      <w:proofErr w:type="gramStart"/>
      <w:r>
        <w:rPr>
          <w:rFonts w:ascii="Arial" w:hAnsi="宋体" w:hint="eastAsia"/>
          <w:szCs w:val="21"/>
          <w:shd w:val="clear" w:color="auto" w:fill="FFFFFF"/>
        </w:rPr>
        <w:t>及时维护</w:t>
      </w:r>
      <w:proofErr w:type="gramEnd"/>
      <w:r>
        <w:rPr>
          <w:rFonts w:ascii="Arial" w:hAnsi="宋体" w:hint="eastAsia"/>
          <w:szCs w:val="21"/>
          <w:shd w:val="clear" w:color="auto" w:fill="FFFFFF"/>
        </w:rPr>
        <w:t>和安全合</w:t>
      </w:r>
      <w:proofErr w:type="gramStart"/>
      <w:r>
        <w:rPr>
          <w:rFonts w:ascii="Arial" w:hAnsi="宋体" w:hint="eastAsia"/>
          <w:szCs w:val="21"/>
          <w:shd w:val="clear" w:color="auto" w:fill="FFFFFF"/>
        </w:rPr>
        <w:t>规</w:t>
      </w:r>
      <w:proofErr w:type="gramEnd"/>
      <w:r>
        <w:rPr>
          <w:rFonts w:ascii="Arial" w:hAnsi="宋体" w:hint="eastAsia"/>
          <w:szCs w:val="21"/>
          <w:shd w:val="clear" w:color="auto" w:fill="FFFFFF"/>
        </w:rPr>
        <w:t>利用。</w:t>
      </w:r>
    </w:p>
    <w:p w:rsidR="00237D27" w:rsidRDefault="00C831E1">
      <w:pPr>
        <w:pStyle w:val="a5"/>
        <w:rPr>
          <w:rFonts w:hAnsi="黑体" w:cs="黑体"/>
          <w:lang w:bidi="zh-CN"/>
        </w:rPr>
      </w:pPr>
      <w:bookmarkStart w:id="122" w:name="_Toc2440"/>
      <w:r>
        <w:rPr>
          <w:rFonts w:hAnsi="黑体" w:cs="黑体" w:hint="eastAsia"/>
          <w:lang w:bidi="zh-CN"/>
        </w:rPr>
        <w:t>数据治理角色构建</w:t>
      </w:r>
      <w:bookmarkEnd w:id="122"/>
    </w:p>
    <w:p w:rsidR="00237D27" w:rsidRDefault="00C831E1">
      <w:pPr>
        <w:pStyle w:val="afff3"/>
        <w:widowControl/>
        <w:shd w:val="clear" w:color="auto" w:fill="FFFFFF"/>
        <w:ind w:firstLineChars="200" w:firstLine="420"/>
        <w:rPr>
          <w:rFonts w:ascii="Segoe UI" w:eastAsia="Segoe UI" w:hAnsi="Segoe UI" w:cs="Segoe UI"/>
          <w:sz w:val="21"/>
          <w:szCs w:val="21"/>
          <w:shd w:val="clear" w:color="auto" w:fill="FFFFFF"/>
        </w:rPr>
      </w:pPr>
      <w:r>
        <w:rPr>
          <w:rFonts w:ascii="Segoe UI" w:eastAsia="Segoe UI" w:hAnsi="Segoe UI" w:cs="Segoe UI"/>
          <w:sz w:val="21"/>
          <w:szCs w:val="21"/>
          <w:shd w:val="clear" w:color="auto" w:fill="FFFFFF"/>
        </w:rPr>
        <w:t>数据治理角色是为了明确数据治理活动中各参与方的职责和权利，确保数据治理工作的高效协同和有效实施。数据治理角色至少包含：</w:t>
      </w:r>
    </w:p>
    <w:p w:rsidR="00237D27" w:rsidRDefault="00C831E1">
      <w:pPr>
        <w:pStyle w:val="afff3"/>
        <w:widowControl/>
        <w:shd w:val="clear" w:color="auto" w:fill="FFFFFF"/>
        <w:ind w:firstLineChars="200" w:firstLine="420"/>
        <w:rPr>
          <w:rFonts w:ascii="Segoe UI" w:eastAsia="Segoe UI" w:hAnsi="Segoe UI" w:cs="Segoe UI"/>
          <w:sz w:val="21"/>
          <w:szCs w:val="21"/>
          <w:shd w:val="clear" w:color="auto" w:fill="FFFFFF"/>
        </w:rPr>
      </w:pPr>
      <w:r>
        <w:rPr>
          <w:rStyle w:val="afff6"/>
          <w:rFonts w:ascii="Segoe UI" w:eastAsia="Segoe UI" w:hAnsi="Segoe UI" w:cs="Segoe UI"/>
          <w:b w:val="0"/>
          <w:sz w:val="21"/>
          <w:szCs w:val="21"/>
          <w:shd w:val="clear" w:color="auto" w:fill="FFFFFF"/>
        </w:rPr>
        <w:t>数据产生者</w:t>
      </w:r>
      <w:r>
        <w:rPr>
          <w:rFonts w:ascii="Segoe UI" w:eastAsia="Segoe UI" w:hAnsi="Segoe UI" w:cs="Segoe UI"/>
          <w:sz w:val="21"/>
          <w:szCs w:val="21"/>
          <w:shd w:val="clear" w:color="auto" w:fill="FFFFFF"/>
        </w:rPr>
        <w:t>：负责数据的采集、录入和生成，确保数据的准确性和完整性，遵循数据标准和规范，避免数据质量问题。</w:t>
      </w:r>
    </w:p>
    <w:p w:rsidR="00237D27" w:rsidRDefault="00C831E1">
      <w:pPr>
        <w:pStyle w:val="afff3"/>
        <w:widowControl/>
        <w:shd w:val="clear" w:color="auto" w:fill="FFFFFF"/>
        <w:ind w:firstLineChars="200" w:firstLine="420"/>
        <w:rPr>
          <w:rFonts w:ascii="Segoe UI" w:hAnsi="Segoe UI" w:cs="Segoe UI"/>
          <w:sz w:val="21"/>
          <w:szCs w:val="21"/>
          <w:shd w:val="clear" w:color="auto" w:fill="FFFFFF"/>
        </w:rPr>
      </w:pPr>
      <w:r>
        <w:rPr>
          <w:rStyle w:val="afff6"/>
          <w:rFonts w:ascii="Segoe UI" w:eastAsia="Segoe UI" w:hAnsi="Segoe UI" w:cs="Segoe UI"/>
          <w:b w:val="0"/>
          <w:sz w:val="21"/>
          <w:szCs w:val="21"/>
          <w:shd w:val="clear" w:color="auto" w:fill="FFFFFF"/>
        </w:rPr>
        <w:lastRenderedPageBreak/>
        <w:t>数据所有者（Owner）</w:t>
      </w:r>
      <w:r>
        <w:rPr>
          <w:rStyle w:val="afff6"/>
          <w:rFonts w:ascii="Segoe UI" w:hAnsi="Segoe UI" w:cs="Segoe UI" w:hint="eastAsia"/>
          <w:b w:val="0"/>
          <w:sz w:val="21"/>
          <w:szCs w:val="21"/>
          <w:shd w:val="clear" w:color="auto" w:fill="FFFFFF"/>
        </w:rPr>
        <w:t>：</w:t>
      </w:r>
      <w:r>
        <w:rPr>
          <w:rFonts w:ascii="Segoe UI" w:eastAsia="Segoe UI" w:hAnsi="Segoe UI" w:cs="Segoe UI"/>
          <w:sz w:val="21"/>
          <w:szCs w:val="21"/>
          <w:shd w:val="clear" w:color="auto" w:fill="FFFFFF"/>
        </w:rPr>
        <w:t>是数据的最终责任人，负责数据的全生命周期管理，包括数据的分类、命名、存储规则的确定，以及数据使用权限和共享范围的审批</w:t>
      </w:r>
      <w:r>
        <w:rPr>
          <w:rFonts w:ascii="Segoe UI" w:hAnsi="Segoe UI" w:cs="Segoe UI" w:hint="eastAsia"/>
          <w:sz w:val="21"/>
          <w:szCs w:val="21"/>
          <w:shd w:val="clear" w:color="auto" w:fill="FFFFFF"/>
        </w:rPr>
        <w:t>，并</w:t>
      </w:r>
      <w:r>
        <w:rPr>
          <w:rFonts w:ascii="Segoe UI" w:eastAsia="Segoe UI" w:hAnsi="Segoe UI" w:cs="Segoe UI"/>
          <w:sz w:val="21"/>
          <w:szCs w:val="21"/>
          <w:shd w:val="clear" w:color="auto" w:fill="FFFFFF"/>
        </w:rPr>
        <w:t>处理数据相关的争议和问题，确保数据的合</w:t>
      </w:r>
      <w:proofErr w:type="gramStart"/>
      <w:r>
        <w:rPr>
          <w:rFonts w:ascii="Segoe UI" w:eastAsia="Segoe UI" w:hAnsi="Segoe UI" w:cs="Segoe UI"/>
          <w:sz w:val="21"/>
          <w:szCs w:val="21"/>
          <w:shd w:val="clear" w:color="auto" w:fill="FFFFFF"/>
        </w:rPr>
        <w:t>规</w:t>
      </w:r>
      <w:proofErr w:type="gramEnd"/>
      <w:r>
        <w:rPr>
          <w:rFonts w:ascii="Segoe UI" w:eastAsia="Segoe UI" w:hAnsi="Segoe UI" w:cs="Segoe UI"/>
          <w:sz w:val="21"/>
          <w:szCs w:val="21"/>
          <w:shd w:val="clear" w:color="auto" w:fill="FFFFFF"/>
        </w:rPr>
        <w:t>性、安全性和价值最大化。</w:t>
      </w:r>
    </w:p>
    <w:p w:rsidR="00237D27" w:rsidRDefault="00C831E1">
      <w:pPr>
        <w:pStyle w:val="afff3"/>
        <w:widowControl/>
        <w:shd w:val="clear" w:color="auto" w:fill="FFFFFF"/>
        <w:ind w:firstLineChars="200" w:firstLine="420"/>
        <w:rPr>
          <w:rStyle w:val="afff6"/>
          <w:rFonts w:ascii="Segoe UI" w:eastAsia="Segoe UI" w:hAnsi="Segoe UI" w:cs="Segoe UI"/>
          <w:b w:val="0"/>
          <w:sz w:val="21"/>
          <w:szCs w:val="21"/>
          <w:shd w:val="clear" w:color="auto" w:fill="FFFFFF"/>
        </w:rPr>
      </w:pPr>
      <w:r>
        <w:rPr>
          <w:rStyle w:val="afff6"/>
          <w:rFonts w:ascii="Segoe UI" w:eastAsia="Segoe UI" w:hAnsi="Segoe UI" w:cs="Segoe UI"/>
          <w:b w:val="0"/>
          <w:sz w:val="21"/>
          <w:szCs w:val="21"/>
          <w:shd w:val="clear" w:color="auto" w:fill="FFFFFF"/>
        </w:rPr>
        <w:t>数据管理者（归口）</w:t>
      </w:r>
      <w:r>
        <w:rPr>
          <w:rFonts w:ascii="Segoe UI" w:eastAsia="Segoe UI" w:hAnsi="Segoe UI" w:cs="Segoe UI"/>
          <w:sz w:val="21"/>
          <w:szCs w:val="21"/>
          <w:shd w:val="clear" w:color="auto" w:fill="FFFFFF"/>
        </w:rPr>
        <w:t>：负责数据的管理、维护和更新，确保数据的规范性和可用性，处理数据的变更和删除操作，确保数据生命周期管理的合</w:t>
      </w:r>
      <w:proofErr w:type="gramStart"/>
      <w:r>
        <w:rPr>
          <w:rFonts w:ascii="Segoe UI" w:eastAsia="Segoe UI" w:hAnsi="Segoe UI" w:cs="Segoe UI"/>
          <w:sz w:val="21"/>
          <w:szCs w:val="21"/>
          <w:shd w:val="clear" w:color="auto" w:fill="FFFFFF"/>
        </w:rPr>
        <w:t>规</w:t>
      </w:r>
      <w:proofErr w:type="gramEnd"/>
      <w:r>
        <w:rPr>
          <w:rFonts w:ascii="Segoe UI" w:eastAsia="Segoe UI" w:hAnsi="Segoe UI" w:cs="Segoe UI"/>
          <w:sz w:val="21"/>
          <w:szCs w:val="21"/>
          <w:shd w:val="clear" w:color="auto" w:fill="FFFFFF"/>
        </w:rPr>
        <w:t>性。</w:t>
      </w:r>
    </w:p>
    <w:p w:rsidR="00237D27" w:rsidRDefault="00C831E1">
      <w:pPr>
        <w:widowControl/>
        <w:ind w:firstLineChars="200" w:firstLine="420"/>
        <w:jc w:val="left"/>
        <w:rPr>
          <w:rStyle w:val="afff6"/>
          <w:rFonts w:ascii="Segoe UI" w:eastAsia="Segoe UI" w:hAnsi="Segoe UI" w:cs="Segoe UI"/>
          <w:b w:val="0"/>
          <w:szCs w:val="21"/>
          <w:shd w:val="clear" w:color="auto" w:fill="FFFFFF"/>
        </w:rPr>
      </w:pPr>
      <w:r>
        <w:rPr>
          <w:rStyle w:val="afff6"/>
          <w:rFonts w:ascii="Segoe UI" w:eastAsia="Segoe UI" w:hAnsi="Segoe UI" w:cs="Segoe UI"/>
          <w:b w:val="0"/>
          <w:szCs w:val="21"/>
          <w:shd w:val="clear" w:color="auto" w:fill="FFFFFF"/>
        </w:rPr>
        <w:t>数据使用者</w:t>
      </w:r>
      <w:r>
        <w:rPr>
          <w:rFonts w:ascii="Segoe UI" w:eastAsia="Segoe UI" w:hAnsi="Segoe UI" w:cs="Segoe UI"/>
          <w:szCs w:val="21"/>
          <w:shd w:val="clear" w:color="auto" w:fill="FFFFFF"/>
        </w:rPr>
        <w:t>：负责数据的分析和应用，确保数据的合理使用和合</w:t>
      </w:r>
      <w:proofErr w:type="gramStart"/>
      <w:r>
        <w:rPr>
          <w:rFonts w:ascii="Segoe UI" w:eastAsia="Segoe UI" w:hAnsi="Segoe UI" w:cs="Segoe UI"/>
          <w:szCs w:val="21"/>
          <w:shd w:val="clear" w:color="auto" w:fill="FFFFFF"/>
        </w:rPr>
        <w:t>规</w:t>
      </w:r>
      <w:proofErr w:type="gramEnd"/>
      <w:r>
        <w:rPr>
          <w:rFonts w:ascii="Segoe UI" w:eastAsia="Segoe UI" w:hAnsi="Segoe UI" w:cs="Segoe UI"/>
          <w:szCs w:val="21"/>
          <w:shd w:val="clear" w:color="auto" w:fill="FFFFFF"/>
        </w:rPr>
        <w:t>性，反馈数据质量问题，提出数据优化需求，通过数据分析和挖掘为业务决策提供支持。</w:t>
      </w:r>
    </w:p>
    <w:p w:rsidR="00237D27" w:rsidRDefault="00C831E1">
      <w:pPr>
        <w:widowControl/>
        <w:ind w:firstLineChars="200" w:firstLine="420"/>
        <w:jc w:val="left"/>
        <w:rPr>
          <w:rFonts w:ascii="Segoe UI" w:eastAsia="Segoe UI" w:hAnsi="Segoe UI" w:cs="Segoe UI"/>
          <w:szCs w:val="21"/>
          <w:shd w:val="clear" w:color="auto" w:fill="FFFFFF"/>
        </w:rPr>
      </w:pPr>
      <w:r>
        <w:rPr>
          <w:rStyle w:val="afff6"/>
          <w:rFonts w:ascii="Segoe UI" w:eastAsia="Segoe UI" w:hAnsi="Segoe UI" w:cs="Segoe UI"/>
          <w:b w:val="0"/>
          <w:szCs w:val="21"/>
          <w:shd w:val="clear" w:color="auto" w:fill="FFFFFF"/>
        </w:rPr>
        <w:t>数据监督者</w:t>
      </w:r>
      <w:r>
        <w:rPr>
          <w:rFonts w:ascii="Segoe UI" w:eastAsia="Segoe UI" w:hAnsi="Segoe UI" w:cs="Segoe UI"/>
          <w:szCs w:val="21"/>
          <w:shd w:val="clear" w:color="auto" w:fill="FFFFFF"/>
        </w:rPr>
        <w:t>：负责数据治理工作的监督和评估，确保数据治理工作的合</w:t>
      </w:r>
      <w:proofErr w:type="gramStart"/>
      <w:r>
        <w:rPr>
          <w:rFonts w:ascii="Segoe UI" w:eastAsia="Segoe UI" w:hAnsi="Segoe UI" w:cs="Segoe UI"/>
          <w:szCs w:val="21"/>
          <w:shd w:val="clear" w:color="auto" w:fill="FFFFFF"/>
        </w:rPr>
        <w:t>规</w:t>
      </w:r>
      <w:proofErr w:type="gramEnd"/>
      <w:r>
        <w:rPr>
          <w:rFonts w:ascii="Segoe UI" w:eastAsia="Segoe UI" w:hAnsi="Segoe UI" w:cs="Segoe UI"/>
          <w:szCs w:val="21"/>
          <w:shd w:val="clear" w:color="auto" w:fill="FFFFFF"/>
        </w:rPr>
        <w:t>性和有效性，评估数据质量、数据安全和数据合</w:t>
      </w:r>
      <w:proofErr w:type="gramStart"/>
      <w:r>
        <w:rPr>
          <w:rFonts w:ascii="Segoe UI" w:eastAsia="Segoe UI" w:hAnsi="Segoe UI" w:cs="Segoe UI"/>
          <w:szCs w:val="21"/>
          <w:shd w:val="clear" w:color="auto" w:fill="FFFFFF"/>
        </w:rPr>
        <w:t>规</w:t>
      </w:r>
      <w:proofErr w:type="gramEnd"/>
      <w:r>
        <w:rPr>
          <w:rFonts w:ascii="Segoe UI" w:eastAsia="Segoe UI" w:hAnsi="Segoe UI" w:cs="Segoe UI"/>
          <w:szCs w:val="21"/>
          <w:shd w:val="clear" w:color="auto" w:fill="FFFFFF"/>
        </w:rPr>
        <w:t>性，提出改进建议，推动数据治理工作的持续优化。</w:t>
      </w:r>
    </w:p>
    <w:p w:rsidR="00237D27" w:rsidRDefault="00C831E1">
      <w:pPr>
        <w:pStyle w:val="a5"/>
        <w:rPr>
          <w:rFonts w:hAnsi="黑体" w:cs="黑体"/>
          <w:lang w:bidi="zh-CN"/>
        </w:rPr>
      </w:pPr>
      <w:r>
        <w:rPr>
          <w:rFonts w:hAnsi="黑体" w:cs="黑体" w:hint="eastAsia"/>
          <w:lang w:bidi="zh-CN"/>
        </w:rPr>
        <w:t>跨组织数据治理协作机制</w:t>
      </w:r>
    </w:p>
    <w:p w:rsidR="00237D27" w:rsidRDefault="00C831E1">
      <w:pPr>
        <w:pStyle w:val="afff3"/>
        <w:ind w:firstLineChars="200" w:firstLine="420"/>
        <w:jc w:val="both"/>
      </w:pPr>
      <w:r>
        <w:rPr>
          <w:rFonts w:ascii="宋体" w:hAnsi="宋体" w:cs="宋体" w:hint="eastAsia"/>
          <w:kern w:val="2"/>
          <w:sz w:val="21"/>
          <w:szCs w:val="21"/>
          <w:lang w:bidi="ar"/>
        </w:rPr>
        <w:t>应建立业主、承包商、供应商之间的数据治理协作机制，明确各方在数据产生、共享、使用过程中的职责接口，确保跨组织数据流转的一致性和合</w:t>
      </w:r>
      <w:proofErr w:type="gramStart"/>
      <w:r>
        <w:rPr>
          <w:rFonts w:ascii="宋体" w:hAnsi="宋体" w:cs="宋体" w:hint="eastAsia"/>
          <w:kern w:val="2"/>
          <w:sz w:val="21"/>
          <w:szCs w:val="21"/>
          <w:lang w:bidi="ar"/>
        </w:rPr>
        <w:t>规</w:t>
      </w:r>
      <w:proofErr w:type="gramEnd"/>
      <w:r>
        <w:rPr>
          <w:rFonts w:ascii="宋体" w:hAnsi="宋体" w:cs="宋体" w:hint="eastAsia"/>
          <w:kern w:val="2"/>
          <w:sz w:val="21"/>
          <w:szCs w:val="21"/>
          <w:lang w:bidi="ar"/>
        </w:rPr>
        <w:t>性。</w:t>
      </w:r>
    </w:p>
    <w:p w:rsidR="00237D27" w:rsidRDefault="00C831E1">
      <w:pPr>
        <w:pStyle w:val="a4"/>
      </w:pPr>
      <w:bookmarkStart w:id="123" w:name="_Toc8801"/>
      <w:r>
        <w:rPr>
          <w:rFonts w:hint="eastAsia"/>
        </w:rPr>
        <w:t>架构设计</w:t>
      </w:r>
      <w:bookmarkEnd w:id="123"/>
    </w:p>
    <w:p w:rsidR="00237D27" w:rsidRDefault="00C831E1">
      <w:pPr>
        <w:pStyle w:val="a5"/>
        <w:rPr>
          <w:rFonts w:hAnsi="黑体" w:cs="黑体"/>
          <w:lang w:bidi="zh-CN"/>
        </w:rPr>
      </w:pPr>
      <w:bookmarkStart w:id="124" w:name="_Toc27213"/>
      <w:r>
        <w:rPr>
          <w:rFonts w:hAnsi="黑体" w:cs="黑体" w:hint="eastAsia"/>
          <w:lang w:bidi="zh-CN"/>
        </w:rPr>
        <w:t>业务架构设计</w:t>
      </w:r>
      <w:bookmarkEnd w:id="124"/>
    </w:p>
    <w:p w:rsidR="00237D27" w:rsidRDefault="00C831E1">
      <w:pPr>
        <w:ind w:firstLineChars="200" w:firstLine="420"/>
        <w:rPr>
          <w:rFonts w:ascii="Arial" w:hAnsi="宋体"/>
          <w:szCs w:val="21"/>
          <w:shd w:val="clear" w:color="auto" w:fill="FFFFFF"/>
        </w:rPr>
      </w:pPr>
      <w:r>
        <w:rPr>
          <w:rFonts w:ascii="Arial" w:hAnsi="宋体" w:hint="eastAsia"/>
          <w:szCs w:val="21"/>
          <w:shd w:val="clear" w:color="auto" w:fill="FFFFFF"/>
        </w:rPr>
        <w:t>业务架构设计应</w:t>
      </w:r>
      <w:r>
        <w:rPr>
          <w:rFonts w:ascii="Arial" w:hAnsi="宋体"/>
          <w:szCs w:val="21"/>
          <w:shd w:val="clear" w:color="auto" w:fill="FFFFFF"/>
        </w:rPr>
        <w:t>明确业务目标、业务流程和业务角色之间的关系，构建清晰的业务视图。从业务功能、业务流程、业务角色和业务事件入手，确保数据治理与核电工程的战略目标紧密结合。覆盖核电工程</w:t>
      </w:r>
      <w:r>
        <w:rPr>
          <w:rFonts w:ascii="Arial" w:hAnsi="宋体" w:hint="eastAsia"/>
          <w:szCs w:val="21"/>
          <w:shd w:val="clear" w:color="auto" w:fill="FFFFFF"/>
        </w:rPr>
        <w:t>建设</w:t>
      </w:r>
      <w:r>
        <w:rPr>
          <w:rFonts w:ascii="Arial" w:hAnsi="宋体"/>
          <w:szCs w:val="21"/>
          <w:shd w:val="clear" w:color="auto" w:fill="FFFFFF"/>
        </w:rPr>
        <w:t>设计、采购、施工、</w:t>
      </w:r>
      <w:proofErr w:type="gramStart"/>
      <w:r>
        <w:rPr>
          <w:rFonts w:ascii="Arial" w:hAnsi="宋体"/>
          <w:szCs w:val="21"/>
          <w:shd w:val="clear" w:color="auto" w:fill="FFFFFF"/>
        </w:rPr>
        <w:t>调试全</w:t>
      </w:r>
      <w:proofErr w:type="gramEnd"/>
      <w:r>
        <w:rPr>
          <w:rFonts w:ascii="Arial" w:hAnsi="宋体"/>
          <w:szCs w:val="21"/>
          <w:shd w:val="clear" w:color="auto" w:fill="FFFFFF"/>
        </w:rPr>
        <w:t>流程业务活动，明确各业务阶段的关键数据产出与数据使用场景。通过业务架构，应能够理解数据在业务流程中的价值和作用，</w:t>
      </w:r>
      <w:r>
        <w:rPr>
          <w:rFonts w:hint="eastAsia"/>
        </w:rPr>
        <w:t>同时为应用架构、数据架构、技术架构的设计提供输入</w:t>
      </w:r>
      <w:r>
        <w:rPr>
          <w:rFonts w:ascii="Arial" w:hAnsi="宋体"/>
          <w:szCs w:val="21"/>
          <w:shd w:val="clear" w:color="auto" w:fill="FFFFFF"/>
        </w:rPr>
        <w:t>。</w:t>
      </w:r>
    </w:p>
    <w:p w:rsidR="00237D27" w:rsidRDefault="00C831E1">
      <w:pPr>
        <w:pStyle w:val="a5"/>
        <w:rPr>
          <w:rFonts w:hAnsi="黑体" w:cs="黑体"/>
          <w:lang w:bidi="zh-CN"/>
        </w:rPr>
      </w:pPr>
      <w:bookmarkStart w:id="125" w:name="_Toc18453"/>
      <w:bookmarkStart w:id="126" w:name="_Toc23174"/>
      <w:r>
        <w:rPr>
          <w:rFonts w:hAnsi="黑体" w:cs="黑体"/>
          <w:lang w:bidi="zh-CN"/>
        </w:rPr>
        <w:t>数据架构</w:t>
      </w:r>
      <w:r>
        <w:rPr>
          <w:rFonts w:hAnsi="黑体" w:cs="黑体" w:hint="eastAsia"/>
          <w:lang w:bidi="zh-CN"/>
        </w:rPr>
        <w:t>设计</w:t>
      </w:r>
      <w:bookmarkEnd w:id="125"/>
      <w:bookmarkEnd w:id="126"/>
    </w:p>
    <w:p w:rsidR="00237D27" w:rsidRDefault="00C831E1">
      <w:pPr>
        <w:ind w:firstLineChars="200" w:firstLine="420"/>
        <w:rPr>
          <w:rFonts w:ascii="Arial" w:hAnsi="宋体"/>
          <w:szCs w:val="21"/>
          <w:shd w:val="clear" w:color="auto" w:fill="FFFFFF"/>
        </w:rPr>
      </w:pPr>
      <w:r>
        <w:rPr>
          <w:rFonts w:ascii="Arial" w:hAnsi="宋体" w:hint="eastAsia"/>
          <w:szCs w:val="21"/>
          <w:shd w:val="clear" w:color="auto" w:fill="FFFFFF"/>
        </w:rPr>
        <w:t>数据架构设计</w:t>
      </w:r>
      <w:r>
        <w:rPr>
          <w:rFonts w:ascii="Arial" w:hAnsi="宋体"/>
          <w:szCs w:val="21"/>
          <w:shd w:val="clear" w:color="auto" w:fill="FFFFFF"/>
        </w:rPr>
        <w:t>应</w:t>
      </w:r>
      <w:r>
        <w:rPr>
          <w:rFonts w:ascii="Arial" w:hAnsi="宋体" w:hint="eastAsia"/>
          <w:szCs w:val="21"/>
          <w:shd w:val="clear" w:color="auto" w:fill="FFFFFF"/>
        </w:rPr>
        <w:t>以结构化的方式，描述在业务运作和管理决策中所需要的各类数据，</w:t>
      </w:r>
      <w:r>
        <w:rPr>
          <w:rFonts w:ascii="Arial" w:hAnsi="宋体"/>
          <w:szCs w:val="21"/>
          <w:shd w:val="clear" w:color="auto" w:fill="FFFFFF"/>
        </w:rPr>
        <w:t>规划和管理核电工程的数据资产，</w:t>
      </w:r>
      <w:r>
        <w:rPr>
          <w:rFonts w:ascii="Arial" w:hAnsi="宋体" w:hint="eastAsia"/>
          <w:szCs w:val="21"/>
          <w:shd w:val="clear" w:color="auto" w:fill="FFFFFF"/>
        </w:rPr>
        <w:t>包括</w:t>
      </w:r>
      <w:r>
        <w:rPr>
          <w:rFonts w:ascii="Arial" w:hAnsi="宋体"/>
          <w:szCs w:val="21"/>
          <w:shd w:val="clear" w:color="auto" w:fill="FFFFFF"/>
        </w:rPr>
        <w:t>设计数据分类、数据模型、数据分布和数据生命周期管理等内容，确保数据在核电工程内部的一致性和可用性。</w:t>
      </w:r>
    </w:p>
    <w:p w:rsidR="00237D27" w:rsidRDefault="00C831E1">
      <w:pPr>
        <w:pStyle w:val="afff3"/>
        <w:widowControl/>
        <w:shd w:val="clear" w:color="auto" w:fill="FFFFFF"/>
        <w:spacing w:line="390" w:lineRule="atLeast"/>
      </w:pPr>
      <w:r>
        <w:rPr>
          <w:rFonts w:ascii="Arial" w:hAnsi="宋体" w:hint="eastAsia"/>
          <w:szCs w:val="21"/>
          <w:shd w:val="clear" w:color="auto" w:fill="FFFFFF"/>
        </w:rPr>
        <w:t xml:space="preserve">  </w:t>
      </w:r>
      <w:r>
        <w:rPr>
          <w:rFonts w:ascii="宋体" w:hAnsi="宋体" w:cs="宋体" w:hint="eastAsia"/>
          <w:kern w:val="2"/>
          <w:sz w:val="21"/>
          <w:szCs w:val="21"/>
          <w:lang w:bidi="ar"/>
        </w:rPr>
        <w:t>建立典型数据模型，如设计模型、设备采购数据模型、施工日志数据模型、调试试验数据模型等。</w:t>
      </w:r>
      <w:r>
        <w:rPr>
          <w:rStyle w:val="afff6"/>
          <w:rFonts w:ascii="Segoe UI" w:hAnsi="Segoe UI" w:cs="Segoe UI" w:hint="eastAsia"/>
          <w:b w:val="0"/>
          <w:sz w:val="21"/>
          <w:szCs w:val="21"/>
          <w:shd w:val="clear" w:color="auto" w:fill="FFFFFF"/>
        </w:rPr>
        <w:t>构建</w:t>
      </w:r>
      <w:r>
        <w:rPr>
          <w:rStyle w:val="afff6"/>
          <w:rFonts w:ascii="Segoe UI" w:eastAsia="Segoe UI" w:hAnsi="Segoe UI" w:cs="Segoe UI"/>
          <w:b w:val="0"/>
          <w:sz w:val="21"/>
          <w:szCs w:val="21"/>
          <w:shd w:val="clear" w:color="auto" w:fill="FFFFFF"/>
        </w:rPr>
        <w:t>数据治理的“蓝图”和“通用语言”，</w:t>
      </w:r>
      <w:r>
        <w:rPr>
          <w:rStyle w:val="afff6"/>
          <w:rFonts w:ascii="Segoe UI" w:hAnsi="Segoe UI" w:cs="Segoe UI" w:hint="eastAsia"/>
          <w:b w:val="0"/>
          <w:sz w:val="21"/>
          <w:szCs w:val="21"/>
          <w:shd w:val="clear" w:color="auto" w:fill="FFFFFF"/>
        </w:rPr>
        <w:t>搭建</w:t>
      </w:r>
      <w:r>
        <w:rPr>
          <w:rFonts w:ascii="Segoe UI" w:eastAsia="Segoe UI" w:hAnsi="Segoe UI" w:cs="Segoe UI"/>
          <w:sz w:val="21"/>
          <w:szCs w:val="21"/>
          <w:shd w:val="clear" w:color="auto" w:fill="FFFFFF"/>
        </w:rPr>
        <w:t>业务需求与技术实现的关键桥梁，</w:t>
      </w:r>
      <w:r>
        <w:rPr>
          <w:rStyle w:val="afff6"/>
          <w:rFonts w:ascii="Segoe UI" w:eastAsia="Segoe UI" w:hAnsi="Segoe UI" w:cs="Segoe UI"/>
          <w:b w:val="0"/>
          <w:sz w:val="21"/>
          <w:szCs w:val="21"/>
          <w:shd w:val="clear" w:color="auto" w:fill="FFFFFF"/>
        </w:rPr>
        <w:t>确保数据在业务层面被一致理解，在技术层面被规范管理。</w:t>
      </w:r>
    </w:p>
    <w:p w:rsidR="00237D27" w:rsidRDefault="00C831E1">
      <w:pPr>
        <w:ind w:firstLineChars="200" w:firstLine="420"/>
        <w:rPr>
          <w:rFonts w:ascii="Arial" w:hAnsi="宋体"/>
          <w:szCs w:val="21"/>
          <w:shd w:val="clear" w:color="auto" w:fill="FFFFFF"/>
        </w:rPr>
      </w:pPr>
      <w:r>
        <w:rPr>
          <w:rFonts w:ascii="Arial" w:hAnsi="宋体" w:hint="eastAsia"/>
          <w:szCs w:val="21"/>
          <w:shd w:val="clear" w:color="auto" w:fill="FFFFFF"/>
        </w:rPr>
        <w:t>通过数据架构，</w:t>
      </w:r>
      <w:r>
        <w:rPr>
          <w:rFonts w:ascii="Arial" w:hAnsi="宋体"/>
          <w:szCs w:val="21"/>
          <w:shd w:val="clear" w:color="auto" w:fill="FFFFFF"/>
        </w:rPr>
        <w:t>应</w:t>
      </w:r>
      <w:r>
        <w:rPr>
          <w:rFonts w:ascii="Arial" w:hAnsi="宋体" w:hint="eastAsia"/>
          <w:szCs w:val="21"/>
          <w:shd w:val="clear" w:color="auto" w:fill="FFFFFF"/>
        </w:rPr>
        <w:t>能</w:t>
      </w:r>
      <w:r>
        <w:rPr>
          <w:rFonts w:ascii="Arial" w:hAnsi="宋体"/>
          <w:szCs w:val="21"/>
          <w:shd w:val="clear" w:color="auto" w:fill="FFFFFF"/>
        </w:rPr>
        <w:t>明确数据的来源、流向和使用方式，</w:t>
      </w:r>
      <w:r>
        <w:rPr>
          <w:rFonts w:ascii="Arial" w:hAnsi="宋体" w:hint="eastAsia"/>
          <w:szCs w:val="21"/>
          <w:shd w:val="clear" w:color="auto" w:fill="FFFFFF"/>
        </w:rPr>
        <w:t>形成</w:t>
      </w:r>
      <w:r>
        <w:rPr>
          <w:rFonts w:ascii="Arial" w:hAnsi="宋体"/>
          <w:szCs w:val="21"/>
          <w:shd w:val="clear" w:color="auto" w:fill="FFFFFF"/>
        </w:rPr>
        <w:t>统一的数据标准和规范，提升数据质量，降低数据冗余和数据孤岛问题，为核电工程的业务决策提供可靠的数据支持。</w:t>
      </w:r>
    </w:p>
    <w:p w:rsidR="00237D27" w:rsidRDefault="00C831E1">
      <w:pPr>
        <w:pStyle w:val="a5"/>
        <w:rPr>
          <w:rFonts w:hAnsi="黑体" w:cs="黑体"/>
          <w:lang w:bidi="zh-CN"/>
        </w:rPr>
      </w:pPr>
      <w:bookmarkStart w:id="127" w:name="_Toc1862"/>
      <w:bookmarkStart w:id="128" w:name="_Toc17563"/>
      <w:r>
        <w:rPr>
          <w:rFonts w:hAnsi="黑体" w:cs="黑体" w:hint="eastAsia"/>
          <w:lang w:bidi="zh-CN"/>
        </w:rPr>
        <w:t>应用架构设计</w:t>
      </w:r>
      <w:bookmarkEnd w:id="127"/>
      <w:bookmarkEnd w:id="128"/>
    </w:p>
    <w:p w:rsidR="00237D27" w:rsidRDefault="00C831E1">
      <w:pPr>
        <w:ind w:firstLineChars="200" w:firstLine="420"/>
        <w:rPr>
          <w:rFonts w:ascii="Arial" w:hAnsi="宋体"/>
          <w:szCs w:val="21"/>
          <w:shd w:val="clear" w:color="auto" w:fill="FFFFFF"/>
        </w:rPr>
      </w:pPr>
      <w:r>
        <w:rPr>
          <w:rFonts w:ascii="Arial" w:hAnsi="宋体" w:hint="eastAsia"/>
          <w:szCs w:val="21"/>
          <w:shd w:val="clear" w:color="auto" w:fill="FFFFFF"/>
        </w:rPr>
        <w:t>应用架构设计应描述核电工程建设数据</w:t>
      </w:r>
      <w:r>
        <w:rPr>
          <w:rFonts w:ascii="Arial" w:hAnsi="宋体"/>
          <w:szCs w:val="21"/>
          <w:shd w:val="clear" w:color="auto" w:fill="FFFFFF"/>
        </w:rPr>
        <w:t>治理相关的应用系统和工具，包括数据治理平台、数据质量管理工具、数据集成工具和数据安全工具等</w:t>
      </w:r>
      <w:r>
        <w:rPr>
          <w:rFonts w:ascii="Arial" w:hAnsi="宋体" w:hint="eastAsia"/>
          <w:szCs w:val="21"/>
          <w:shd w:val="clear" w:color="auto" w:fill="FFFFFF"/>
        </w:rPr>
        <w:t>，</w:t>
      </w:r>
      <w:r>
        <w:rPr>
          <w:rFonts w:ascii="Arial" w:hAnsi="宋体"/>
          <w:szCs w:val="21"/>
          <w:shd w:val="clear" w:color="auto" w:fill="FFFFFF"/>
        </w:rPr>
        <w:t>实现数据治理工具的集成和协同，提升数据治理的自动化水平，降低人工干预成本，提高数据治理的效率和效果，确保数据治理活动能够高效落地。</w:t>
      </w:r>
    </w:p>
    <w:p w:rsidR="00237D27" w:rsidRDefault="00C831E1">
      <w:pPr>
        <w:widowControl/>
        <w:ind w:firstLineChars="200" w:firstLine="420"/>
        <w:rPr>
          <w:rFonts w:ascii="Arial" w:hAnsi="宋体"/>
          <w:szCs w:val="21"/>
          <w:shd w:val="clear" w:color="auto" w:fill="FFFFFF"/>
        </w:rPr>
      </w:pPr>
      <w:r>
        <w:rPr>
          <w:rFonts w:ascii="宋体" w:hAnsi="宋体" w:cs="宋体" w:hint="eastAsia"/>
          <w:szCs w:val="21"/>
          <w:lang w:bidi="ar"/>
        </w:rPr>
        <w:t>构建统一的数据治理平台，支撑设计数据流转、采购数据共享、施工数据采集、调试数据管理等应用场景。</w:t>
      </w:r>
      <w:r>
        <w:rPr>
          <w:rFonts w:ascii="Arial" w:hAnsi="宋体" w:hint="eastAsia"/>
          <w:szCs w:val="21"/>
          <w:shd w:val="clear" w:color="auto" w:fill="FFFFFF"/>
        </w:rPr>
        <w:t>通过应用架构，应形成数据治理的蓝图，起到承上启下的作用，向上承接企业的业务战略，端到端覆盖业务场景，完整识别各业务域的数字化水平优化与提升方向。向下规划各系统的定位和功能，指导企业数字化落地、数据与技术的标准建设。</w:t>
      </w:r>
    </w:p>
    <w:p w:rsidR="00237D27" w:rsidRDefault="00C831E1">
      <w:pPr>
        <w:pStyle w:val="a5"/>
        <w:rPr>
          <w:rFonts w:hAnsi="黑体" w:cs="黑体"/>
          <w:lang w:bidi="zh-CN"/>
        </w:rPr>
      </w:pPr>
      <w:bookmarkStart w:id="129" w:name="_Toc5253"/>
      <w:bookmarkStart w:id="130" w:name="_Toc19880"/>
      <w:r>
        <w:rPr>
          <w:rFonts w:hAnsi="黑体" w:cs="黑体" w:hint="eastAsia"/>
          <w:lang w:bidi="zh-CN"/>
        </w:rPr>
        <w:lastRenderedPageBreak/>
        <w:t>技术架构设计</w:t>
      </w:r>
      <w:bookmarkEnd w:id="129"/>
      <w:bookmarkEnd w:id="130"/>
    </w:p>
    <w:p w:rsidR="00237D27" w:rsidRDefault="00C831E1">
      <w:pPr>
        <w:ind w:firstLineChars="200" w:firstLine="420"/>
        <w:rPr>
          <w:rFonts w:ascii="Arial" w:hAnsi="宋体"/>
          <w:szCs w:val="21"/>
          <w:shd w:val="clear" w:color="auto" w:fill="FFFFFF"/>
        </w:rPr>
      </w:pPr>
      <w:r>
        <w:rPr>
          <w:rFonts w:ascii="Arial" w:hAnsi="宋体"/>
          <w:szCs w:val="21"/>
          <w:shd w:val="clear" w:color="auto" w:fill="FFFFFF"/>
        </w:rPr>
        <w:t>技术架构</w:t>
      </w:r>
      <w:r>
        <w:rPr>
          <w:rFonts w:ascii="Arial" w:hAnsi="宋体" w:hint="eastAsia"/>
          <w:szCs w:val="21"/>
          <w:shd w:val="clear" w:color="auto" w:fill="FFFFFF"/>
        </w:rPr>
        <w:t>设计</w:t>
      </w:r>
      <w:r>
        <w:rPr>
          <w:rFonts w:ascii="Arial" w:hAnsi="宋体"/>
          <w:szCs w:val="21"/>
          <w:shd w:val="clear" w:color="auto" w:fill="FFFFFF"/>
        </w:rPr>
        <w:t>应规划和设计支撑</w:t>
      </w:r>
      <w:r>
        <w:rPr>
          <w:rFonts w:ascii="Arial" w:hAnsi="宋体" w:hint="eastAsia"/>
          <w:szCs w:val="21"/>
          <w:shd w:val="clear" w:color="auto" w:fill="FFFFFF"/>
        </w:rPr>
        <w:t>核电工程建设数据</w:t>
      </w:r>
      <w:r>
        <w:rPr>
          <w:rFonts w:ascii="Arial" w:hAnsi="宋体"/>
          <w:szCs w:val="21"/>
          <w:shd w:val="clear" w:color="auto" w:fill="FFFFFF"/>
        </w:rPr>
        <w:t>治理的技术平台和系统，包括数据存储、数据处理、数据安全和数据集成等内容，确保数据治理活动能够在稳定、可靠的技术环境中运行。</w:t>
      </w:r>
    </w:p>
    <w:p w:rsidR="00237D27" w:rsidRDefault="00C831E1">
      <w:pPr>
        <w:ind w:firstLineChars="200" w:firstLine="420"/>
        <w:rPr>
          <w:rFonts w:ascii="Arial" w:hAnsi="宋体"/>
          <w:szCs w:val="21"/>
          <w:shd w:val="clear" w:color="auto" w:fill="FFFFFF"/>
        </w:rPr>
      </w:pPr>
      <w:r>
        <w:rPr>
          <w:rFonts w:ascii="Arial" w:hAnsi="宋体" w:hint="eastAsia"/>
          <w:szCs w:val="21"/>
          <w:shd w:val="clear" w:color="auto" w:fill="FFFFFF"/>
        </w:rPr>
        <w:t>另外，须建立</w:t>
      </w:r>
      <w:r>
        <w:rPr>
          <w:rFonts w:ascii="Arial" w:hAnsi="宋体"/>
          <w:szCs w:val="21"/>
          <w:shd w:val="clear" w:color="auto" w:fill="FFFFFF"/>
        </w:rPr>
        <w:t>针对核电涉密数据、核安全级数据，构建分级分类存储、访问控制、审计追溯的技术支撑体系。</w:t>
      </w:r>
    </w:p>
    <w:p w:rsidR="00237D27" w:rsidRDefault="00C831E1">
      <w:pPr>
        <w:ind w:firstLineChars="200" w:firstLine="420"/>
      </w:pPr>
      <w:r>
        <w:rPr>
          <w:rFonts w:ascii="Arial" w:hAnsi="宋体" w:hint="eastAsia"/>
          <w:szCs w:val="21"/>
          <w:shd w:val="clear" w:color="auto" w:fill="FFFFFF"/>
        </w:rPr>
        <w:t>通过技术架构，</w:t>
      </w:r>
      <w:r>
        <w:rPr>
          <w:rFonts w:ascii="Arial" w:hAnsi="宋体"/>
          <w:szCs w:val="21"/>
          <w:shd w:val="clear" w:color="auto" w:fill="FFFFFF"/>
        </w:rPr>
        <w:t>应构建高效、安全、可扩展的技术环境，为</w:t>
      </w:r>
      <w:r>
        <w:rPr>
          <w:rFonts w:ascii="Arial" w:hAnsi="宋体" w:hint="eastAsia"/>
          <w:szCs w:val="21"/>
          <w:shd w:val="clear" w:color="auto" w:fill="FFFFFF"/>
        </w:rPr>
        <w:t>核电工程建设数据</w:t>
      </w:r>
      <w:r>
        <w:rPr>
          <w:rFonts w:ascii="Arial" w:hAnsi="宋体"/>
          <w:szCs w:val="21"/>
          <w:shd w:val="clear" w:color="auto" w:fill="FFFFFF"/>
        </w:rPr>
        <w:t>治理提供强有力的技术支撑，保障数据治理的可持续性和</w:t>
      </w:r>
      <w:proofErr w:type="gramStart"/>
      <w:r>
        <w:rPr>
          <w:rFonts w:ascii="Arial" w:hAnsi="宋体"/>
          <w:szCs w:val="21"/>
          <w:shd w:val="clear" w:color="auto" w:fill="FFFFFF"/>
        </w:rPr>
        <w:t>可</w:t>
      </w:r>
      <w:proofErr w:type="gramEnd"/>
      <w:r>
        <w:rPr>
          <w:rFonts w:ascii="Arial" w:hAnsi="宋体"/>
          <w:szCs w:val="21"/>
          <w:shd w:val="clear" w:color="auto" w:fill="FFFFFF"/>
        </w:rPr>
        <w:t>扩展性。</w:t>
      </w:r>
    </w:p>
    <w:p w:rsidR="00237D27" w:rsidRDefault="00C831E1">
      <w:pPr>
        <w:pStyle w:val="a4"/>
      </w:pPr>
      <w:bookmarkStart w:id="131" w:name="_Toc20230"/>
      <w:r>
        <w:rPr>
          <w:rFonts w:hint="eastAsia"/>
        </w:rPr>
        <w:t>数据治理域</w:t>
      </w:r>
      <w:bookmarkEnd w:id="131"/>
    </w:p>
    <w:p w:rsidR="00237D27" w:rsidRDefault="00C831E1">
      <w:pPr>
        <w:pStyle w:val="a5"/>
        <w:rPr>
          <w:rFonts w:hAnsi="黑体" w:cs="黑体"/>
          <w:lang w:bidi="zh-CN"/>
        </w:rPr>
      </w:pPr>
      <w:bookmarkStart w:id="132" w:name="_Toc16360"/>
      <w:bookmarkStart w:id="133" w:name="_Toc28858"/>
      <w:r>
        <w:rPr>
          <w:rFonts w:hAnsi="黑体" w:cs="黑体" w:hint="eastAsia"/>
          <w:lang w:bidi="zh-CN"/>
        </w:rPr>
        <w:t>数据管理体系</w:t>
      </w:r>
      <w:bookmarkEnd w:id="132"/>
      <w:bookmarkEnd w:id="133"/>
    </w:p>
    <w:p w:rsidR="00237D27" w:rsidRDefault="00C831E1">
      <w:pPr>
        <w:ind w:firstLineChars="200" w:firstLine="420"/>
        <w:rPr>
          <w:rFonts w:ascii="Arial" w:hAnsi="宋体"/>
          <w:szCs w:val="21"/>
          <w:shd w:val="clear" w:color="auto" w:fill="FFFFFF"/>
        </w:rPr>
      </w:pPr>
      <w:r>
        <w:rPr>
          <w:rFonts w:ascii="Arial" w:hAnsi="宋体" w:hint="eastAsia"/>
          <w:szCs w:val="21"/>
          <w:shd w:val="clear" w:color="auto" w:fill="FFFFFF"/>
        </w:rPr>
        <w:t>数据管理体系应围绕数据标准管理、数据治理管理、数据安全管理、元数据管理以及数据全生命期管理等开展数据管理体系的治理，数据管理体系应符合：</w:t>
      </w:r>
    </w:p>
    <w:p w:rsidR="00237D27" w:rsidRDefault="00C831E1">
      <w:pPr>
        <w:pStyle w:val="af0"/>
        <w:numPr>
          <w:ilvl w:val="0"/>
          <w:numId w:val="25"/>
        </w:numPr>
      </w:pPr>
      <w:r>
        <w:t>全面性要求：数据管理体系应覆盖数据标准管理、数据治理管理、数据安全管理、元数据管理以及数据全生命周期管理等核心环节，确保数据管理的全面性和系统性。</w:t>
      </w:r>
    </w:p>
    <w:p w:rsidR="00237D27" w:rsidRDefault="00C831E1">
      <w:pPr>
        <w:pStyle w:val="af0"/>
        <w:numPr>
          <w:ilvl w:val="0"/>
          <w:numId w:val="25"/>
        </w:numPr>
      </w:pPr>
      <w:r>
        <w:t>协同性要求：数据管理体系应注重各管理环节的协同与整合，确保数据标准、治理、安全、元数据和生命周期管理等工作的相互支撑和高效联动，形成统一的数据管理合力。</w:t>
      </w:r>
    </w:p>
    <w:p w:rsidR="00237D27" w:rsidRDefault="00C831E1">
      <w:pPr>
        <w:pStyle w:val="af0"/>
        <w:numPr>
          <w:ilvl w:val="0"/>
          <w:numId w:val="25"/>
        </w:numPr>
      </w:pPr>
      <w:r>
        <w:t>持续优化要求：数据管理体系应建立动态优化机制，定期评估数据管理现状，识别改进空间，持续优化管理体系和管理流程，以适应业务发展和数据环境的变化。</w:t>
      </w:r>
    </w:p>
    <w:p w:rsidR="00237D27" w:rsidRDefault="00C831E1">
      <w:pPr>
        <w:pStyle w:val="aff3"/>
        <w:ind w:firstLineChars="200" w:firstLine="420"/>
        <w:jc w:val="both"/>
      </w:pPr>
      <w:r>
        <w:rPr>
          <w:rFonts w:ascii="Arial" w:hAnsi="宋体" w:hint="eastAsia"/>
          <w:szCs w:val="21"/>
          <w:shd w:val="clear" w:color="auto" w:fill="FFFFFF"/>
        </w:rPr>
        <w:t>数据管理体系治理要求详见附录</w:t>
      </w:r>
      <w:r>
        <w:rPr>
          <w:rFonts w:ascii="Arial" w:hAnsi="宋体" w:hint="eastAsia"/>
          <w:szCs w:val="21"/>
          <w:shd w:val="clear" w:color="auto" w:fill="FFFFFF"/>
        </w:rPr>
        <w:t>A</w:t>
      </w:r>
      <w:r>
        <w:rPr>
          <w:rFonts w:ascii="Arial" w:hAnsi="宋体" w:hint="eastAsia"/>
          <w:szCs w:val="21"/>
          <w:shd w:val="clear" w:color="auto" w:fill="FFFFFF"/>
        </w:rPr>
        <w:t>。</w:t>
      </w:r>
    </w:p>
    <w:p w:rsidR="00237D27" w:rsidRDefault="00C831E1">
      <w:pPr>
        <w:pStyle w:val="a5"/>
        <w:rPr>
          <w:rFonts w:hAnsi="黑体" w:cs="黑体"/>
          <w:lang w:bidi="zh-CN"/>
        </w:rPr>
      </w:pPr>
      <w:bookmarkStart w:id="134" w:name="_Toc28709"/>
      <w:bookmarkStart w:id="135" w:name="_Toc2731"/>
      <w:r>
        <w:rPr>
          <w:rFonts w:hAnsi="黑体" w:cs="黑体" w:hint="eastAsia"/>
          <w:lang w:bidi="zh-CN"/>
        </w:rPr>
        <w:t>数据资产管理体系</w:t>
      </w:r>
      <w:bookmarkEnd w:id="134"/>
      <w:bookmarkEnd w:id="135"/>
    </w:p>
    <w:p w:rsidR="00237D27" w:rsidRDefault="00C831E1">
      <w:pPr>
        <w:pStyle w:val="aff3"/>
        <w:ind w:firstLineChars="200" w:firstLine="420"/>
        <w:jc w:val="left"/>
        <w:rPr>
          <w:rFonts w:ascii="宋体"/>
        </w:rPr>
      </w:pPr>
      <w:r>
        <w:rPr>
          <w:rFonts w:ascii="宋体"/>
        </w:rPr>
        <w:t>数据资产</w:t>
      </w:r>
      <w:r>
        <w:rPr>
          <w:rFonts w:ascii="宋体" w:hint="eastAsia"/>
        </w:rPr>
        <w:t>管理</w:t>
      </w:r>
      <w:r>
        <w:rPr>
          <w:rFonts w:ascii="宋体"/>
        </w:rPr>
        <w:t>体系是数据治理的重要组成部分，通过构建数据资产目录明确数据资产的范围和价值，实现数据资产的规范化管理。数据资产目录的核心内容为主题域及每个</w:t>
      </w:r>
      <w:proofErr w:type="gramStart"/>
      <w:r>
        <w:rPr>
          <w:rFonts w:ascii="宋体"/>
        </w:rPr>
        <w:t>主题域下的</w:t>
      </w:r>
      <w:proofErr w:type="gramEnd"/>
      <w:r>
        <w:rPr>
          <w:rFonts w:ascii="宋体"/>
        </w:rPr>
        <w:t>业务对象。数据资产目录的构建是一个系统性的工作，旨在通过对业务流程和信息系统的全面梳理，识别业务对象，梳理业务对象下的逻辑数据实体及其属性。这一过程需要结合业务需求和技术视角，确保数据资产的完整性和准确性，为后续的数据治理和价值挖掘奠定基础。被认定为具有业务价值或管理需求的数据（如核心业务数据、合</w:t>
      </w:r>
      <w:proofErr w:type="gramStart"/>
      <w:r>
        <w:rPr>
          <w:rFonts w:ascii="宋体"/>
        </w:rPr>
        <w:t>规</w:t>
      </w:r>
      <w:proofErr w:type="gramEnd"/>
      <w:r>
        <w:rPr>
          <w:rFonts w:ascii="宋体"/>
        </w:rPr>
        <w:t>性数据等）将纳入数据资产目录。</w:t>
      </w:r>
    </w:p>
    <w:p w:rsidR="00237D27" w:rsidRDefault="00C831E1">
      <w:pPr>
        <w:ind w:firstLineChars="200" w:firstLine="420"/>
        <w:rPr>
          <w:rFonts w:ascii="宋体"/>
        </w:rPr>
      </w:pPr>
      <w:r>
        <w:rPr>
          <w:rFonts w:ascii="宋体"/>
        </w:rPr>
        <w:t>以</w:t>
      </w:r>
      <w:r>
        <w:rPr>
          <w:rFonts w:ascii="宋体"/>
        </w:rPr>
        <w:t>“</w:t>
      </w:r>
      <w:r>
        <w:rPr>
          <w:rFonts w:ascii="宋体"/>
        </w:rPr>
        <w:t>业务驱动、颗粒度适中、可落地</w:t>
      </w:r>
      <w:r>
        <w:rPr>
          <w:rFonts w:ascii="宋体"/>
        </w:rPr>
        <w:t>”</w:t>
      </w:r>
      <w:r>
        <w:rPr>
          <w:rFonts w:ascii="宋体"/>
        </w:rPr>
        <w:t>为原则，形成</w:t>
      </w:r>
      <w:r>
        <w:rPr>
          <w:rFonts w:ascii="宋体" w:hint="eastAsia"/>
        </w:rPr>
        <w:t>核电</w:t>
      </w:r>
      <w:r>
        <w:rPr>
          <w:rFonts w:ascii="宋体"/>
        </w:rPr>
        <w:t>数据资产目录：</w:t>
      </w:r>
    </w:p>
    <w:p w:rsidR="00237D27" w:rsidRDefault="00C831E1">
      <w:pPr>
        <w:pStyle w:val="af0"/>
        <w:numPr>
          <w:ilvl w:val="0"/>
          <w:numId w:val="26"/>
        </w:numPr>
      </w:pPr>
      <w:r>
        <w:t>数据域（L1）：对应核电核心业务顶层领域</w:t>
      </w:r>
    </w:p>
    <w:p w:rsidR="00237D27" w:rsidRDefault="00C831E1">
      <w:pPr>
        <w:pStyle w:val="af0"/>
        <w:numPr>
          <w:ilvl w:val="0"/>
          <w:numId w:val="26"/>
        </w:numPr>
      </w:pPr>
      <w:r>
        <w:t>数据子域（L2）：对应</w:t>
      </w:r>
      <w:proofErr w:type="gramStart"/>
      <w:r>
        <w:t>业务域下的</w:t>
      </w:r>
      <w:proofErr w:type="gramEnd"/>
      <w:r>
        <w:t>细分业务模块</w:t>
      </w:r>
    </w:p>
    <w:p w:rsidR="00237D27" w:rsidRDefault="00C831E1">
      <w:pPr>
        <w:pStyle w:val="af0"/>
        <w:numPr>
          <w:ilvl w:val="0"/>
          <w:numId w:val="26"/>
        </w:numPr>
      </w:pPr>
      <w:r>
        <w:t>业务对象（L3）：对应业务子域内</w:t>
      </w:r>
      <w:r>
        <w:rPr>
          <w:rFonts w:hint="eastAsia"/>
        </w:rPr>
        <w:t>的</w:t>
      </w:r>
      <w:r>
        <w:t>具体模块</w:t>
      </w:r>
    </w:p>
    <w:p w:rsidR="00237D27" w:rsidRDefault="00C831E1">
      <w:pPr>
        <w:pStyle w:val="af0"/>
        <w:numPr>
          <w:ilvl w:val="0"/>
          <w:numId w:val="26"/>
        </w:numPr>
      </w:pPr>
      <w:r>
        <w:t>逻辑实体（L4）：描述</w:t>
      </w:r>
      <w:r>
        <w:rPr>
          <w:rFonts w:hint="eastAsia"/>
        </w:rPr>
        <w:t>业务</w:t>
      </w:r>
      <w:r>
        <w:t>对象的核心数据集合（数据主题）</w:t>
      </w:r>
    </w:p>
    <w:p w:rsidR="00237D27" w:rsidRDefault="00C831E1">
      <w:pPr>
        <w:pStyle w:val="af0"/>
        <w:numPr>
          <w:ilvl w:val="0"/>
          <w:numId w:val="26"/>
        </w:numPr>
      </w:pPr>
      <w:r>
        <w:t>属性（L5）：逻辑实体的具体数据项（最小数据单元）</w:t>
      </w:r>
    </w:p>
    <w:p w:rsidR="00237D27" w:rsidRDefault="00BF2D05">
      <w:pPr>
        <w:pStyle w:val="af0"/>
        <w:numPr>
          <w:ilvl w:val="0"/>
          <w:numId w:val="0"/>
        </w:numPr>
        <w:spacing w:beforeLines="50" w:before="156"/>
        <w:ind w:left="420"/>
        <w:rPr>
          <w:kern w:val="2"/>
          <w:szCs w:val="24"/>
        </w:rPr>
      </w:pPr>
      <w:r>
        <w:rPr>
          <w:rFonts w:hint="eastAsia"/>
          <w:kern w:val="2"/>
          <w:szCs w:val="24"/>
        </w:rPr>
        <w:t>以设计和施工板块为例，核电工程建设数据资产目录层次结构图见图2、图3</w:t>
      </w:r>
      <w:r w:rsidR="00C831E1">
        <w:rPr>
          <w:rFonts w:hint="eastAsia"/>
          <w:kern w:val="2"/>
          <w:szCs w:val="24"/>
        </w:rPr>
        <w:t>。</w:t>
      </w:r>
    </w:p>
    <w:p w:rsidR="00237D27" w:rsidRDefault="00C831E1">
      <w:pPr>
        <w:pStyle w:val="af0"/>
        <w:numPr>
          <w:ilvl w:val="0"/>
          <w:numId w:val="0"/>
        </w:numPr>
        <w:jc w:val="center"/>
      </w:pPr>
      <w:r>
        <w:rPr>
          <w:noProof/>
        </w:rPr>
        <w:lastRenderedPageBreak/>
        <w:drawing>
          <wp:inline distT="0" distB="0" distL="114300" distR="114300" wp14:anchorId="19753288" wp14:editId="40204F11">
            <wp:extent cx="4907915" cy="3672205"/>
            <wp:effectExtent l="0" t="0" r="6985"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4907915" cy="3672205"/>
                    </a:xfrm>
                    <a:prstGeom prst="rect">
                      <a:avLst/>
                    </a:prstGeom>
                    <a:noFill/>
                    <a:ln>
                      <a:noFill/>
                    </a:ln>
                  </pic:spPr>
                </pic:pic>
              </a:graphicData>
            </a:graphic>
          </wp:inline>
        </w:drawing>
      </w:r>
    </w:p>
    <w:p w:rsidR="00237D27" w:rsidRPr="00BF2D05" w:rsidRDefault="00C831E1">
      <w:pPr>
        <w:jc w:val="center"/>
        <w:rPr>
          <w:rFonts w:ascii="黑体" w:eastAsia="黑体" w:hAnsi="黑体" w:cs="黑体"/>
          <w:szCs w:val="21"/>
        </w:rPr>
      </w:pPr>
      <w:r w:rsidRPr="00BF2D05">
        <w:rPr>
          <w:rFonts w:ascii="黑体" w:eastAsia="黑体" w:hAnsi="黑体" w:cs="黑体" w:hint="eastAsia"/>
          <w:szCs w:val="21"/>
        </w:rPr>
        <w:t>图</w:t>
      </w:r>
      <w:r w:rsidRPr="00BF2D05">
        <w:rPr>
          <w:rFonts w:ascii="黑体" w:eastAsia="黑体" w:hAnsi="黑体" w:cs="黑体"/>
          <w:szCs w:val="21"/>
        </w:rPr>
        <w:t xml:space="preserve"> </w:t>
      </w:r>
      <w:r w:rsidRPr="00BF2D05">
        <w:rPr>
          <w:rFonts w:ascii="黑体" w:eastAsia="黑体" w:hAnsi="黑体" w:cs="黑体" w:hint="eastAsia"/>
          <w:szCs w:val="21"/>
        </w:rPr>
        <w:t>2核电工程建设设计数据资产目录层次结构图（示例）</w:t>
      </w:r>
    </w:p>
    <w:p w:rsidR="00237D27" w:rsidRDefault="00C831E1">
      <w:pPr>
        <w:jc w:val="center"/>
      </w:pPr>
      <w:r>
        <w:rPr>
          <w:noProof/>
        </w:rPr>
        <w:drawing>
          <wp:inline distT="0" distB="0" distL="114300" distR="114300" wp14:anchorId="328619D7" wp14:editId="5D9A1EB3">
            <wp:extent cx="4906645" cy="2552700"/>
            <wp:effectExtent l="0" t="0" r="8255"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7"/>
                    <a:stretch>
                      <a:fillRect/>
                    </a:stretch>
                  </pic:blipFill>
                  <pic:spPr>
                    <a:xfrm>
                      <a:off x="0" y="0"/>
                      <a:ext cx="4906645" cy="2552700"/>
                    </a:xfrm>
                    <a:prstGeom prst="rect">
                      <a:avLst/>
                    </a:prstGeom>
                    <a:noFill/>
                    <a:ln>
                      <a:noFill/>
                    </a:ln>
                  </pic:spPr>
                </pic:pic>
              </a:graphicData>
            </a:graphic>
          </wp:inline>
        </w:drawing>
      </w:r>
    </w:p>
    <w:p w:rsidR="00237D27" w:rsidRPr="00BF2D05" w:rsidRDefault="00C831E1">
      <w:pPr>
        <w:jc w:val="center"/>
        <w:rPr>
          <w:rFonts w:ascii="黑体" w:eastAsia="黑体" w:hAnsi="黑体" w:cs="黑体"/>
          <w:szCs w:val="21"/>
        </w:rPr>
      </w:pPr>
      <w:r w:rsidRPr="00BF2D05">
        <w:rPr>
          <w:rFonts w:ascii="黑体" w:eastAsia="黑体" w:hAnsi="黑体" w:cs="黑体" w:hint="eastAsia"/>
          <w:szCs w:val="21"/>
        </w:rPr>
        <w:t>图</w:t>
      </w:r>
      <w:r w:rsidRPr="00BF2D05">
        <w:rPr>
          <w:rFonts w:ascii="黑体" w:eastAsia="黑体" w:hAnsi="黑体" w:cs="黑体"/>
          <w:szCs w:val="21"/>
        </w:rPr>
        <w:t xml:space="preserve"> </w:t>
      </w:r>
      <w:r w:rsidRPr="00BF2D05">
        <w:rPr>
          <w:rFonts w:ascii="黑体" w:eastAsia="黑体" w:hAnsi="黑体" w:cs="黑体" w:hint="eastAsia"/>
          <w:szCs w:val="21"/>
        </w:rPr>
        <w:t>3核电工程建设施工数据资产目录层次结构图（示例）</w:t>
      </w:r>
    </w:p>
    <w:p w:rsidR="00237D27" w:rsidRDefault="00237D27">
      <w:pPr>
        <w:pStyle w:val="aff3"/>
      </w:pPr>
    </w:p>
    <w:p w:rsidR="00237D27" w:rsidRDefault="00C831E1">
      <w:pPr>
        <w:pStyle w:val="a4"/>
      </w:pPr>
      <w:bookmarkStart w:id="136" w:name="_Toc31678"/>
      <w:r>
        <w:rPr>
          <w:rFonts w:hint="eastAsia"/>
        </w:rPr>
        <w:t>数据治理过程</w:t>
      </w:r>
      <w:bookmarkEnd w:id="136"/>
    </w:p>
    <w:p w:rsidR="00237D27" w:rsidRDefault="00C831E1">
      <w:pPr>
        <w:pStyle w:val="a5"/>
        <w:rPr>
          <w:rFonts w:hAnsi="黑体" w:cs="黑体"/>
          <w:lang w:bidi="zh-CN"/>
        </w:rPr>
      </w:pPr>
      <w:bookmarkStart w:id="137" w:name="_Toc21781"/>
      <w:r>
        <w:rPr>
          <w:rFonts w:hAnsi="黑体" w:cs="黑体" w:hint="eastAsia"/>
          <w:lang w:bidi="zh-CN"/>
        </w:rPr>
        <w:t>统筹与规划</w:t>
      </w:r>
      <w:bookmarkEnd w:id="137"/>
    </w:p>
    <w:p w:rsidR="00237D27" w:rsidRDefault="00C831E1">
      <w:pPr>
        <w:ind w:firstLineChars="200" w:firstLine="420"/>
        <w:rPr>
          <w:szCs w:val="21"/>
        </w:rPr>
      </w:pPr>
      <w:r>
        <w:rPr>
          <w:rFonts w:ascii="Arial" w:hAnsi="宋体" w:hint="eastAsia"/>
          <w:szCs w:val="21"/>
          <w:shd w:val="clear" w:color="auto" w:fill="FFFFFF"/>
        </w:rPr>
        <w:t>明确数据治理的目标和任务，</w:t>
      </w:r>
      <w:r>
        <w:rPr>
          <w:rFonts w:ascii="宋体" w:hAnsi="宋体" w:cs="宋体" w:hint="eastAsia"/>
          <w:szCs w:val="21"/>
          <w:lang w:bidi="ar"/>
        </w:rPr>
        <w:t>采用现状评估模板、方案评审清单开展工作，</w:t>
      </w:r>
      <w:r>
        <w:rPr>
          <w:rFonts w:ascii="Arial" w:hAnsi="宋体" w:hint="eastAsia"/>
          <w:szCs w:val="21"/>
          <w:shd w:val="clear" w:color="auto" w:fill="FFFFFF"/>
        </w:rPr>
        <w:t>搭建治理实施的基础环境。包括：</w:t>
      </w:r>
      <w:r>
        <w:rPr>
          <w:rFonts w:hint="eastAsia"/>
          <w:szCs w:val="21"/>
        </w:rPr>
        <w:t xml:space="preserve">    </w:t>
      </w:r>
    </w:p>
    <w:p w:rsidR="00237D27" w:rsidRDefault="00C831E1">
      <w:pPr>
        <w:pStyle w:val="af0"/>
        <w:numPr>
          <w:ilvl w:val="0"/>
          <w:numId w:val="27"/>
        </w:numPr>
        <w:rPr>
          <w:rFonts w:ascii="Times New Roman"/>
          <w:kern w:val="2"/>
          <w:szCs w:val="21"/>
        </w:rPr>
      </w:pPr>
      <w:r>
        <w:rPr>
          <w:rFonts w:ascii="Times New Roman" w:hint="eastAsia"/>
          <w:kern w:val="2"/>
          <w:szCs w:val="21"/>
        </w:rPr>
        <w:lastRenderedPageBreak/>
        <w:t>开展现状调研评估，覆盖资源配置、人员能力与法规要求、业务需求的匹配情况，为数据治理方案提供依据。</w:t>
      </w:r>
    </w:p>
    <w:p w:rsidR="00237D27" w:rsidRDefault="00C831E1">
      <w:pPr>
        <w:pStyle w:val="af0"/>
        <w:numPr>
          <w:ilvl w:val="0"/>
          <w:numId w:val="27"/>
        </w:numPr>
        <w:rPr>
          <w:rFonts w:ascii="Times New Roman"/>
          <w:kern w:val="2"/>
          <w:szCs w:val="21"/>
        </w:rPr>
      </w:pPr>
      <w:r>
        <w:rPr>
          <w:rFonts w:ascii="Times New Roman" w:hint="eastAsia"/>
          <w:kern w:val="2"/>
          <w:szCs w:val="21"/>
        </w:rPr>
        <w:t>制定数据治理方案，明确组织协作模式、治理范围与核心任务、分阶段实施路径。</w:t>
      </w:r>
    </w:p>
    <w:p w:rsidR="00237D27" w:rsidRDefault="00C831E1">
      <w:pPr>
        <w:pStyle w:val="af0"/>
        <w:numPr>
          <w:ilvl w:val="0"/>
          <w:numId w:val="27"/>
        </w:numPr>
        <w:rPr>
          <w:rFonts w:ascii="Times New Roman"/>
          <w:kern w:val="2"/>
          <w:szCs w:val="21"/>
        </w:rPr>
      </w:pPr>
      <w:r>
        <w:rPr>
          <w:rFonts w:ascii="Times New Roman" w:hint="eastAsia"/>
          <w:kern w:val="2"/>
          <w:szCs w:val="21"/>
        </w:rPr>
        <w:t>建立规划监督机制，确保现状评估客观、方案设计合理且符合实际落地条件。</w:t>
      </w:r>
    </w:p>
    <w:p w:rsidR="00237D27" w:rsidRDefault="00C831E1">
      <w:pPr>
        <w:pStyle w:val="a5"/>
        <w:rPr>
          <w:rFonts w:hAnsi="黑体" w:cs="黑体"/>
          <w:lang w:bidi="zh-CN"/>
        </w:rPr>
      </w:pPr>
      <w:bookmarkStart w:id="138" w:name="_Toc18335"/>
      <w:bookmarkStart w:id="139" w:name="_Toc23360"/>
      <w:r>
        <w:rPr>
          <w:rFonts w:hAnsi="黑体" w:cs="黑体" w:hint="eastAsia"/>
          <w:lang w:bidi="zh-CN"/>
        </w:rPr>
        <w:t>团队与体系建设</w:t>
      </w:r>
      <w:bookmarkEnd w:id="138"/>
      <w:bookmarkEnd w:id="139"/>
    </w:p>
    <w:p w:rsidR="00237D27" w:rsidRDefault="00C831E1">
      <w:pPr>
        <w:ind w:leftChars="200" w:left="420"/>
        <w:rPr>
          <w:szCs w:val="21"/>
        </w:rPr>
      </w:pPr>
      <w:r>
        <w:rPr>
          <w:rFonts w:hint="eastAsia"/>
          <w:szCs w:val="21"/>
        </w:rPr>
        <w:t>构建数据治理组织架构和制度体系，确保治理工作的高效执行和有序推进。包括：</w:t>
      </w:r>
    </w:p>
    <w:p w:rsidR="00237D27" w:rsidRDefault="00C831E1">
      <w:pPr>
        <w:pStyle w:val="af0"/>
        <w:numPr>
          <w:ilvl w:val="0"/>
          <w:numId w:val="28"/>
        </w:numPr>
        <w:rPr>
          <w:rFonts w:ascii="Times New Roman"/>
          <w:kern w:val="2"/>
          <w:szCs w:val="21"/>
        </w:rPr>
      </w:pPr>
      <w:r>
        <w:rPr>
          <w:rFonts w:ascii="Times New Roman" w:hint="eastAsia"/>
          <w:kern w:val="2"/>
          <w:szCs w:val="21"/>
        </w:rPr>
        <w:t>组建协作团队，明确各角色职责、权利与接口。</w:t>
      </w:r>
    </w:p>
    <w:p w:rsidR="00237D27" w:rsidRDefault="00C831E1">
      <w:pPr>
        <w:pStyle w:val="af0"/>
        <w:numPr>
          <w:ilvl w:val="0"/>
          <w:numId w:val="28"/>
        </w:numPr>
        <w:rPr>
          <w:rFonts w:ascii="Times New Roman"/>
          <w:kern w:val="2"/>
          <w:szCs w:val="21"/>
        </w:rPr>
      </w:pPr>
      <w:r>
        <w:rPr>
          <w:rFonts w:ascii="Times New Roman" w:hint="eastAsia"/>
          <w:kern w:val="2"/>
          <w:szCs w:val="21"/>
        </w:rPr>
        <w:t>搭建数据治理体系，包含数据管理通用规范、决策流程与跨主体沟通协调机制。</w:t>
      </w:r>
    </w:p>
    <w:p w:rsidR="00237D27" w:rsidRDefault="00C831E1">
      <w:pPr>
        <w:pStyle w:val="af0"/>
        <w:numPr>
          <w:ilvl w:val="0"/>
          <w:numId w:val="28"/>
        </w:numPr>
        <w:rPr>
          <w:rFonts w:ascii="Times New Roman"/>
          <w:kern w:val="2"/>
          <w:szCs w:val="21"/>
        </w:rPr>
      </w:pPr>
      <w:r>
        <w:rPr>
          <w:rFonts w:ascii="Times New Roman" w:hint="eastAsia"/>
          <w:kern w:val="2"/>
          <w:szCs w:val="21"/>
        </w:rPr>
        <w:t>开展能力建设工作，通过培训提升团队成员数据治理专业认知与执行能力。</w:t>
      </w:r>
    </w:p>
    <w:p w:rsidR="00237D27" w:rsidRDefault="00C831E1">
      <w:pPr>
        <w:pStyle w:val="a5"/>
        <w:rPr>
          <w:rFonts w:hAnsi="黑体" w:cs="黑体"/>
          <w:lang w:bidi="zh-CN"/>
        </w:rPr>
      </w:pPr>
      <w:bookmarkStart w:id="140" w:name="_Toc21533"/>
      <w:bookmarkStart w:id="141" w:name="_Toc23425"/>
      <w:r>
        <w:rPr>
          <w:rFonts w:hAnsi="黑体" w:cs="黑体" w:hint="eastAsia"/>
          <w:lang w:bidi="zh-CN"/>
        </w:rPr>
        <w:t>资产盘点</w:t>
      </w:r>
      <w:bookmarkEnd w:id="140"/>
      <w:bookmarkEnd w:id="141"/>
    </w:p>
    <w:p w:rsidR="00237D27" w:rsidRDefault="00C831E1">
      <w:pPr>
        <w:ind w:leftChars="200" w:left="420"/>
        <w:rPr>
          <w:szCs w:val="21"/>
        </w:rPr>
      </w:pPr>
      <w:r>
        <w:rPr>
          <w:rFonts w:hint="eastAsia"/>
          <w:szCs w:val="21"/>
        </w:rPr>
        <w:t>采用数据资产盘点模板、分类分级编码规则开展工作，全面梳理数据资源，明确数据资产边界与核心属性，形成标准化数据资产清单。包括：</w:t>
      </w:r>
    </w:p>
    <w:p w:rsidR="00237D27" w:rsidRDefault="00C831E1">
      <w:pPr>
        <w:pStyle w:val="af0"/>
        <w:numPr>
          <w:ilvl w:val="0"/>
          <w:numId w:val="29"/>
        </w:numPr>
        <w:rPr>
          <w:rFonts w:ascii="Times New Roman"/>
          <w:kern w:val="2"/>
          <w:szCs w:val="21"/>
        </w:rPr>
      </w:pPr>
      <w:r>
        <w:rPr>
          <w:rFonts w:ascii="Times New Roman" w:hint="eastAsia"/>
          <w:kern w:val="2"/>
          <w:szCs w:val="21"/>
        </w:rPr>
        <w:t>实施数据资源普查，覆盖各类业务系统、存储载体，厘清数据来源与分布情况。</w:t>
      </w:r>
    </w:p>
    <w:p w:rsidR="00237D27" w:rsidRDefault="00C831E1">
      <w:pPr>
        <w:pStyle w:val="af0"/>
        <w:numPr>
          <w:ilvl w:val="0"/>
          <w:numId w:val="29"/>
        </w:numPr>
        <w:rPr>
          <w:rFonts w:ascii="Times New Roman"/>
          <w:kern w:val="2"/>
          <w:szCs w:val="21"/>
        </w:rPr>
      </w:pPr>
      <w:r>
        <w:rPr>
          <w:rFonts w:ascii="Times New Roman" w:hint="eastAsia"/>
          <w:kern w:val="2"/>
          <w:szCs w:val="21"/>
        </w:rPr>
        <w:t>定义数据核心属性，规范记录数据名称、类型、格式、业务关联等关键信息。</w:t>
      </w:r>
    </w:p>
    <w:p w:rsidR="00237D27" w:rsidRDefault="00C831E1">
      <w:pPr>
        <w:pStyle w:val="af0"/>
        <w:numPr>
          <w:ilvl w:val="0"/>
          <w:numId w:val="29"/>
        </w:numPr>
        <w:rPr>
          <w:rFonts w:ascii="Times New Roman"/>
          <w:kern w:val="2"/>
          <w:szCs w:val="21"/>
        </w:rPr>
      </w:pPr>
      <w:r>
        <w:rPr>
          <w:rFonts w:ascii="Times New Roman" w:hint="eastAsia"/>
          <w:kern w:val="2"/>
          <w:szCs w:val="21"/>
        </w:rPr>
        <w:t>建立数据资产目录，按统一规则分类归档，实现资产可视化管理。</w:t>
      </w:r>
    </w:p>
    <w:p w:rsidR="00237D27" w:rsidRDefault="00C831E1">
      <w:pPr>
        <w:pStyle w:val="a5"/>
      </w:pPr>
      <w:bookmarkStart w:id="142" w:name="_Toc18077"/>
      <w:bookmarkStart w:id="143" w:name="_Toc26570"/>
      <w:r>
        <w:rPr>
          <w:rFonts w:hAnsi="黑体" w:cs="黑体" w:hint="eastAsia"/>
          <w:lang w:bidi="zh-CN"/>
        </w:rPr>
        <w:t>标准制定</w:t>
      </w:r>
      <w:bookmarkEnd w:id="142"/>
      <w:bookmarkEnd w:id="143"/>
    </w:p>
    <w:p w:rsidR="00237D27" w:rsidRDefault="00C831E1">
      <w:pPr>
        <w:ind w:firstLineChars="200" w:firstLine="420"/>
        <w:rPr>
          <w:szCs w:val="21"/>
        </w:rPr>
      </w:pPr>
      <w:r>
        <w:rPr>
          <w:rFonts w:hint="eastAsia"/>
          <w:szCs w:val="21"/>
        </w:rPr>
        <w:t>制定统一的数据管理通用标准，规范数据全生命周期流程，保障数据质量与一致性。包括：</w:t>
      </w:r>
    </w:p>
    <w:p w:rsidR="00237D27" w:rsidRDefault="00C831E1">
      <w:pPr>
        <w:pStyle w:val="af0"/>
        <w:numPr>
          <w:ilvl w:val="0"/>
          <w:numId w:val="30"/>
        </w:numPr>
        <w:rPr>
          <w:rFonts w:ascii="Times New Roman"/>
          <w:kern w:val="2"/>
          <w:szCs w:val="21"/>
        </w:rPr>
      </w:pPr>
      <w:r>
        <w:rPr>
          <w:rFonts w:ascii="Times New Roman" w:hint="eastAsia"/>
          <w:kern w:val="2"/>
          <w:szCs w:val="21"/>
        </w:rPr>
        <w:t>制定数据标准管理流程，对数据标准的编制、审查、发布、执行、变更及复审等环节进行有效管控。</w:t>
      </w:r>
    </w:p>
    <w:p w:rsidR="00237D27" w:rsidRDefault="00C831E1">
      <w:pPr>
        <w:pStyle w:val="af0"/>
        <w:numPr>
          <w:ilvl w:val="0"/>
          <w:numId w:val="30"/>
        </w:numPr>
        <w:rPr>
          <w:rFonts w:ascii="Times New Roman"/>
          <w:kern w:val="2"/>
          <w:szCs w:val="21"/>
        </w:rPr>
      </w:pPr>
      <w:r>
        <w:rPr>
          <w:rFonts w:ascii="Times New Roman" w:hint="eastAsia"/>
          <w:kern w:val="2"/>
          <w:szCs w:val="21"/>
        </w:rPr>
        <w:t>建立数据标准的保障机制，确保数据标准的有效执行和持续改进。</w:t>
      </w:r>
    </w:p>
    <w:p w:rsidR="00237D27" w:rsidRDefault="00C831E1">
      <w:pPr>
        <w:pStyle w:val="af0"/>
        <w:numPr>
          <w:ilvl w:val="0"/>
          <w:numId w:val="30"/>
        </w:numPr>
        <w:rPr>
          <w:rFonts w:ascii="Times New Roman"/>
          <w:kern w:val="2"/>
          <w:szCs w:val="21"/>
        </w:rPr>
      </w:pPr>
      <w:r>
        <w:rPr>
          <w:rFonts w:ascii="Times New Roman" w:hint="eastAsia"/>
          <w:kern w:val="2"/>
          <w:szCs w:val="21"/>
        </w:rPr>
        <w:t>制定和发布由数据利益相关方确认的数据标准数据通用规范，涵盖数据命名、编码、格式等。</w:t>
      </w:r>
    </w:p>
    <w:p w:rsidR="00237D27" w:rsidRDefault="00C831E1">
      <w:pPr>
        <w:pStyle w:val="a5"/>
        <w:rPr>
          <w:rFonts w:hAnsi="黑体" w:cs="黑体"/>
          <w:lang w:bidi="zh-CN"/>
        </w:rPr>
      </w:pPr>
      <w:bookmarkStart w:id="144" w:name="_Toc3022"/>
      <w:bookmarkStart w:id="145" w:name="_Toc27654"/>
      <w:r>
        <w:rPr>
          <w:rFonts w:hAnsi="黑体" w:cs="黑体" w:hint="eastAsia"/>
          <w:lang w:bidi="zh-CN"/>
        </w:rPr>
        <w:t>落地执行</w:t>
      </w:r>
      <w:bookmarkEnd w:id="144"/>
      <w:bookmarkEnd w:id="145"/>
    </w:p>
    <w:p w:rsidR="00237D27" w:rsidRDefault="00C831E1">
      <w:pPr>
        <w:ind w:leftChars="200" w:left="420"/>
        <w:rPr>
          <w:szCs w:val="21"/>
        </w:rPr>
      </w:pPr>
      <w:r>
        <w:rPr>
          <w:rFonts w:hint="eastAsia"/>
          <w:szCs w:val="21"/>
        </w:rPr>
        <w:t>依据规划与标准推进数据治理实操，推动治理成果在业务场景中应用。包括：</w:t>
      </w:r>
    </w:p>
    <w:p w:rsidR="00237D27" w:rsidRDefault="00C831E1">
      <w:pPr>
        <w:pStyle w:val="af0"/>
        <w:numPr>
          <w:ilvl w:val="0"/>
          <w:numId w:val="31"/>
        </w:numPr>
        <w:rPr>
          <w:rFonts w:ascii="Times New Roman"/>
          <w:kern w:val="2"/>
          <w:szCs w:val="21"/>
        </w:rPr>
      </w:pPr>
      <w:r>
        <w:rPr>
          <w:rFonts w:ascii="Times New Roman" w:hint="eastAsia"/>
          <w:kern w:val="2"/>
          <w:szCs w:val="21"/>
        </w:rPr>
        <w:t>实施数据清洗优化，按照质量标准对非标准数据进行规整处理。</w:t>
      </w:r>
    </w:p>
    <w:p w:rsidR="00237D27" w:rsidRDefault="00C831E1">
      <w:pPr>
        <w:pStyle w:val="af0"/>
        <w:numPr>
          <w:ilvl w:val="0"/>
          <w:numId w:val="31"/>
        </w:numPr>
        <w:rPr>
          <w:rFonts w:ascii="Times New Roman"/>
          <w:kern w:val="2"/>
          <w:szCs w:val="21"/>
        </w:rPr>
      </w:pPr>
      <w:r>
        <w:rPr>
          <w:rFonts w:ascii="Times New Roman" w:hint="eastAsia"/>
          <w:kern w:val="2"/>
          <w:szCs w:val="21"/>
        </w:rPr>
        <w:t>推进数据整合共享，打通跨领域数据壁垒，建立标准化共享通道。</w:t>
      </w:r>
    </w:p>
    <w:p w:rsidR="00237D27" w:rsidRDefault="00C831E1">
      <w:pPr>
        <w:pStyle w:val="af0"/>
        <w:numPr>
          <w:ilvl w:val="0"/>
          <w:numId w:val="31"/>
        </w:numPr>
        <w:rPr>
          <w:rFonts w:ascii="Times New Roman"/>
          <w:kern w:val="2"/>
          <w:szCs w:val="21"/>
        </w:rPr>
      </w:pPr>
      <w:r>
        <w:rPr>
          <w:rFonts w:ascii="Times New Roman" w:hint="eastAsia"/>
          <w:kern w:val="2"/>
          <w:szCs w:val="21"/>
        </w:rPr>
        <w:t>推动治理成果应用，将规范后的数据应用于业务分析、决策支持等场景。</w:t>
      </w:r>
    </w:p>
    <w:p w:rsidR="00237D27" w:rsidRDefault="00C831E1">
      <w:pPr>
        <w:pStyle w:val="af0"/>
        <w:numPr>
          <w:ilvl w:val="255"/>
          <w:numId w:val="0"/>
        </w:numPr>
        <w:ind w:firstLineChars="200" w:firstLine="420"/>
        <w:rPr>
          <w:rFonts w:ascii="Times New Roman"/>
          <w:kern w:val="2"/>
          <w:szCs w:val="21"/>
        </w:rPr>
      </w:pPr>
      <w:r>
        <w:rPr>
          <w:rFonts w:ascii="Times New Roman" w:hint="eastAsia"/>
          <w:kern w:val="2"/>
          <w:szCs w:val="21"/>
        </w:rPr>
        <w:t>核电工程建设数据治理的实施路径、阶段重点与保障措施，可参照附录</w:t>
      </w:r>
      <w:r>
        <w:rPr>
          <w:rFonts w:ascii="Times New Roman" w:hint="eastAsia"/>
          <w:kern w:val="2"/>
          <w:szCs w:val="21"/>
        </w:rPr>
        <w:t>B</w:t>
      </w:r>
      <w:r>
        <w:rPr>
          <w:rFonts w:ascii="Times New Roman" w:hint="eastAsia"/>
          <w:kern w:val="2"/>
          <w:szCs w:val="21"/>
        </w:rPr>
        <w:t>执行，确保治理要求在工程各阶段规范落地。</w:t>
      </w:r>
    </w:p>
    <w:p w:rsidR="00237D27" w:rsidRDefault="00C831E1">
      <w:pPr>
        <w:pStyle w:val="a5"/>
        <w:rPr>
          <w:rFonts w:hAnsi="黑体" w:cs="黑体"/>
          <w:lang w:bidi="zh-CN"/>
        </w:rPr>
      </w:pPr>
      <w:bookmarkStart w:id="146" w:name="_Toc2174"/>
      <w:bookmarkStart w:id="147" w:name="_Toc8981"/>
      <w:r>
        <w:rPr>
          <w:rFonts w:hAnsi="黑体" w:cs="黑体" w:hint="eastAsia"/>
          <w:lang w:bidi="zh-CN"/>
        </w:rPr>
        <w:t>监控与评价</w:t>
      </w:r>
      <w:bookmarkEnd w:id="146"/>
      <w:bookmarkEnd w:id="147"/>
    </w:p>
    <w:p w:rsidR="00237D27" w:rsidRDefault="00C831E1">
      <w:pPr>
        <w:ind w:leftChars="200" w:left="420"/>
        <w:rPr>
          <w:szCs w:val="21"/>
        </w:rPr>
      </w:pPr>
      <w:r>
        <w:rPr>
          <w:rFonts w:hint="eastAsia"/>
          <w:szCs w:val="21"/>
        </w:rPr>
        <w:t>建立常态化监控机制，定期评估治理效果，及时识别流程中的问题。包括：</w:t>
      </w:r>
    </w:p>
    <w:p w:rsidR="00237D27" w:rsidRDefault="00C831E1">
      <w:pPr>
        <w:pStyle w:val="af0"/>
        <w:numPr>
          <w:ilvl w:val="0"/>
          <w:numId w:val="32"/>
        </w:numPr>
        <w:rPr>
          <w:rFonts w:ascii="Times New Roman"/>
          <w:kern w:val="2"/>
          <w:szCs w:val="21"/>
        </w:rPr>
      </w:pPr>
      <w:r>
        <w:rPr>
          <w:rFonts w:ascii="Times New Roman" w:hint="eastAsia"/>
          <w:kern w:val="2"/>
          <w:szCs w:val="21"/>
        </w:rPr>
        <w:t>搭建监控管理体系，实时跟踪数据质量、标准执行情况与应用效果。</w:t>
      </w:r>
    </w:p>
    <w:p w:rsidR="00237D27" w:rsidRDefault="00C831E1">
      <w:pPr>
        <w:pStyle w:val="af0"/>
        <w:numPr>
          <w:ilvl w:val="0"/>
          <w:numId w:val="32"/>
        </w:numPr>
        <w:rPr>
          <w:rFonts w:ascii="Times New Roman"/>
          <w:kern w:val="2"/>
          <w:szCs w:val="21"/>
        </w:rPr>
      </w:pPr>
      <w:r>
        <w:rPr>
          <w:rFonts w:ascii="Times New Roman" w:hint="eastAsia"/>
          <w:kern w:val="2"/>
          <w:szCs w:val="21"/>
        </w:rPr>
        <w:t>开展定期效果评价，对照治理目标，评估数据质量提升程度与业务价值贡献。</w:t>
      </w:r>
    </w:p>
    <w:p w:rsidR="00237D27" w:rsidRDefault="00C831E1">
      <w:pPr>
        <w:pStyle w:val="af0"/>
        <w:numPr>
          <w:ilvl w:val="0"/>
          <w:numId w:val="32"/>
        </w:numPr>
        <w:rPr>
          <w:rFonts w:ascii="Times New Roman"/>
          <w:kern w:val="2"/>
          <w:szCs w:val="21"/>
        </w:rPr>
      </w:pPr>
      <w:r>
        <w:rPr>
          <w:rFonts w:ascii="Times New Roman" w:hint="eastAsia"/>
          <w:kern w:val="2"/>
          <w:szCs w:val="21"/>
        </w:rPr>
        <w:t>总结治理成效，梳理未达预期的问题及关键影响因素。</w:t>
      </w:r>
    </w:p>
    <w:p w:rsidR="00237D27" w:rsidRDefault="00C831E1">
      <w:pPr>
        <w:pStyle w:val="af0"/>
        <w:numPr>
          <w:ilvl w:val="0"/>
          <w:numId w:val="0"/>
        </w:numPr>
        <w:ind w:firstLineChars="200" w:firstLine="420"/>
        <w:rPr>
          <w:rFonts w:ascii="Times New Roman"/>
          <w:kern w:val="2"/>
          <w:szCs w:val="21"/>
        </w:rPr>
      </w:pPr>
      <w:r>
        <w:rPr>
          <w:rFonts w:ascii="Times New Roman" w:hint="eastAsia"/>
          <w:kern w:val="2"/>
          <w:szCs w:val="21"/>
        </w:rPr>
        <w:t>数据治理成熟度评估指标可参照附录</w:t>
      </w:r>
      <w:r>
        <w:rPr>
          <w:rFonts w:ascii="Times New Roman" w:hint="eastAsia"/>
          <w:kern w:val="2"/>
          <w:szCs w:val="21"/>
        </w:rPr>
        <w:t>C</w:t>
      </w:r>
      <w:r>
        <w:rPr>
          <w:rFonts w:ascii="Times New Roman" w:hint="eastAsia"/>
          <w:kern w:val="2"/>
          <w:szCs w:val="21"/>
        </w:rPr>
        <w:t>执行，通过多维度评估识别治理短板，为后续改进提供依据。</w:t>
      </w:r>
    </w:p>
    <w:p w:rsidR="00237D27" w:rsidRDefault="00C831E1">
      <w:pPr>
        <w:pStyle w:val="a5"/>
        <w:rPr>
          <w:rFonts w:hAnsi="黑体" w:cs="黑体"/>
          <w:lang w:bidi="zh-CN"/>
        </w:rPr>
      </w:pPr>
      <w:bookmarkStart w:id="148" w:name="_Toc17071"/>
      <w:bookmarkStart w:id="149" w:name="_Toc31093"/>
      <w:r>
        <w:rPr>
          <w:rFonts w:hAnsi="黑体" w:cs="黑体" w:hint="eastAsia"/>
          <w:lang w:bidi="zh-CN"/>
        </w:rPr>
        <w:t>改进与优化</w:t>
      </w:r>
      <w:bookmarkEnd w:id="148"/>
      <w:bookmarkEnd w:id="149"/>
    </w:p>
    <w:p w:rsidR="00237D27" w:rsidRDefault="00C831E1">
      <w:pPr>
        <w:ind w:leftChars="200" w:left="420"/>
        <w:rPr>
          <w:szCs w:val="21"/>
        </w:rPr>
      </w:pPr>
      <w:r>
        <w:rPr>
          <w:rFonts w:hint="eastAsia"/>
          <w:szCs w:val="21"/>
        </w:rPr>
        <w:t>基于监控评价结果，持续调整治理策略与方案，完善数据治理体系。包括：</w:t>
      </w:r>
    </w:p>
    <w:p w:rsidR="00237D27" w:rsidRDefault="00C831E1">
      <w:pPr>
        <w:pStyle w:val="af0"/>
        <w:numPr>
          <w:ilvl w:val="0"/>
          <w:numId w:val="33"/>
        </w:numPr>
        <w:rPr>
          <w:rFonts w:ascii="Arial" w:hAnsi="宋体"/>
          <w:szCs w:val="21"/>
          <w:shd w:val="clear" w:color="auto" w:fill="FFFFFF"/>
        </w:rPr>
      </w:pPr>
      <w:r>
        <w:rPr>
          <w:rFonts w:ascii="Times New Roman" w:hint="eastAsia"/>
          <w:kern w:val="2"/>
          <w:szCs w:val="21"/>
        </w:rPr>
        <w:lastRenderedPageBreak/>
        <w:t>制定改进措施，针对评价发现的问题，明确优化方向与实施路径。</w:t>
      </w:r>
    </w:p>
    <w:p w:rsidR="00237D27" w:rsidRDefault="00C831E1">
      <w:pPr>
        <w:pStyle w:val="af0"/>
        <w:numPr>
          <w:ilvl w:val="0"/>
          <w:numId w:val="33"/>
        </w:numPr>
        <w:rPr>
          <w:rFonts w:ascii="Arial" w:hAnsi="宋体"/>
          <w:szCs w:val="21"/>
          <w:shd w:val="clear" w:color="auto" w:fill="FFFFFF"/>
        </w:rPr>
      </w:pPr>
      <w:r>
        <w:rPr>
          <w:rFonts w:ascii="Times New Roman" w:hint="eastAsia"/>
          <w:kern w:val="2"/>
          <w:szCs w:val="21"/>
        </w:rPr>
        <w:t>迭代治理标准与流程，结合业务发展与技术更新完善相关规范。</w:t>
      </w:r>
    </w:p>
    <w:p w:rsidR="00237D27" w:rsidRDefault="00C831E1">
      <w:pPr>
        <w:pStyle w:val="af0"/>
        <w:numPr>
          <w:ilvl w:val="0"/>
          <w:numId w:val="33"/>
        </w:numPr>
        <w:rPr>
          <w:rFonts w:ascii="Arial" w:hAnsi="宋体"/>
          <w:szCs w:val="21"/>
          <w:shd w:val="clear" w:color="auto" w:fill="FFFFFF"/>
        </w:rPr>
      </w:pPr>
      <w:r>
        <w:rPr>
          <w:rFonts w:ascii="Times New Roman" w:hint="eastAsia"/>
          <w:kern w:val="2"/>
          <w:szCs w:val="21"/>
        </w:rPr>
        <w:t>固化优化成果，将有效改进措施纳入治理体系，形成闭环管理机制。</w:t>
      </w:r>
    </w:p>
    <w:p w:rsidR="00237D27" w:rsidRDefault="00C831E1">
      <w:pPr>
        <w:pStyle w:val="a4"/>
      </w:pPr>
      <w:bookmarkStart w:id="150" w:name="_Toc28456"/>
      <w:bookmarkStart w:id="151" w:name="_Toc1084"/>
      <w:r>
        <w:rPr>
          <w:rFonts w:hint="eastAsia"/>
        </w:rPr>
        <w:t>数据治理工具</w:t>
      </w:r>
      <w:bookmarkEnd w:id="150"/>
      <w:bookmarkEnd w:id="151"/>
    </w:p>
    <w:p w:rsidR="00237D27" w:rsidRDefault="00C831E1">
      <w:pPr>
        <w:pStyle w:val="a5"/>
        <w:rPr>
          <w:rFonts w:ascii="Times New Roman" w:eastAsia="宋体"/>
          <w:kern w:val="2"/>
        </w:rPr>
      </w:pPr>
      <w:bookmarkStart w:id="152" w:name="_Toc31561"/>
      <w:bookmarkStart w:id="153" w:name="_Toc21095"/>
      <w:r>
        <w:rPr>
          <w:rFonts w:hAnsi="黑体" w:cs="黑体" w:hint="eastAsia"/>
          <w:lang w:bidi="zh-CN"/>
        </w:rPr>
        <w:t>原则</w:t>
      </w:r>
      <w:bookmarkEnd w:id="152"/>
      <w:bookmarkEnd w:id="153"/>
    </w:p>
    <w:p w:rsidR="00237D27" w:rsidRDefault="00C831E1">
      <w:pPr>
        <w:pStyle w:val="af0"/>
        <w:numPr>
          <w:ilvl w:val="0"/>
          <w:numId w:val="34"/>
        </w:numPr>
        <w:rPr>
          <w:rFonts w:ascii="Times New Roman"/>
          <w:kern w:val="2"/>
          <w:szCs w:val="21"/>
        </w:rPr>
      </w:pPr>
      <w:r>
        <w:rPr>
          <w:rFonts w:ascii="Times New Roman" w:hint="eastAsia"/>
          <w:kern w:val="2"/>
          <w:szCs w:val="21"/>
        </w:rPr>
        <w:t>兼容性原则：需适配多类型数据源与多技术架构，能与现有业务系统、数据中心无缝对接，避免技术壁垒。</w:t>
      </w:r>
    </w:p>
    <w:p w:rsidR="00237D27" w:rsidRDefault="00C831E1">
      <w:pPr>
        <w:pStyle w:val="af0"/>
        <w:numPr>
          <w:ilvl w:val="0"/>
          <w:numId w:val="34"/>
        </w:numPr>
        <w:rPr>
          <w:rFonts w:ascii="Times New Roman"/>
          <w:kern w:val="2"/>
          <w:szCs w:val="21"/>
        </w:rPr>
      </w:pPr>
      <w:r>
        <w:rPr>
          <w:rFonts w:ascii="Times New Roman" w:hint="eastAsia"/>
          <w:kern w:val="2"/>
          <w:szCs w:val="21"/>
        </w:rPr>
        <w:t>自动化与智能化原则：核心环节（如数据质量校验、元数据采集）需减少人工干预，通过算法模型实现异常自动识别、规则自动执行，降低治理成本。</w:t>
      </w:r>
    </w:p>
    <w:p w:rsidR="00237D27" w:rsidRDefault="00C831E1">
      <w:pPr>
        <w:pStyle w:val="af0"/>
        <w:numPr>
          <w:ilvl w:val="0"/>
          <w:numId w:val="34"/>
        </w:numPr>
        <w:rPr>
          <w:rFonts w:ascii="Times New Roman"/>
          <w:kern w:val="2"/>
          <w:szCs w:val="21"/>
        </w:rPr>
      </w:pPr>
      <w:r>
        <w:rPr>
          <w:rFonts w:ascii="Times New Roman" w:hint="eastAsia"/>
          <w:kern w:val="2"/>
          <w:szCs w:val="21"/>
        </w:rPr>
        <w:t>可扩展性原则：支持随业务规模、治理范围扩大灵活升级，可新增功能模块（如数据安全管控、数据生命周期管理）或扩展数据处理容量，满足长期治理需求。</w:t>
      </w:r>
    </w:p>
    <w:p w:rsidR="00237D27" w:rsidRDefault="00C831E1">
      <w:pPr>
        <w:pStyle w:val="af0"/>
        <w:numPr>
          <w:ilvl w:val="0"/>
          <w:numId w:val="34"/>
        </w:numPr>
        <w:rPr>
          <w:rFonts w:ascii="Times New Roman"/>
          <w:kern w:val="2"/>
          <w:szCs w:val="21"/>
        </w:rPr>
      </w:pPr>
      <w:r>
        <w:rPr>
          <w:rFonts w:ascii="Times New Roman" w:hint="eastAsia"/>
          <w:kern w:val="2"/>
          <w:szCs w:val="21"/>
        </w:rPr>
        <w:t>合</w:t>
      </w:r>
      <w:proofErr w:type="gramStart"/>
      <w:r>
        <w:rPr>
          <w:rFonts w:ascii="Times New Roman" w:hint="eastAsia"/>
          <w:kern w:val="2"/>
          <w:szCs w:val="21"/>
        </w:rPr>
        <w:t>规</w:t>
      </w:r>
      <w:proofErr w:type="gramEnd"/>
      <w:r>
        <w:rPr>
          <w:rFonts w:ascii="Times New Roman" w:hint="eastAsia"/>
          <w:kern w:val="2"/>
          <w:szCs w:val="21"/>
        </w:rPr>
        <w:t>性原则：需符合数据安全、隐私保护相关法规（如数据分类分级、权限管控），确保数据治理过程可追溯、可审计，规避合</w:t>
      </w:r>
      <w:proofErr w:type="gramStart"/>
      <w:r>
        <w:rPr>
          <w:rFonts w:ascii="Times New Roman" w:hint="eastAsia"/>
          <w:kern w:val="2"/>
          <w:szCs w:val="21"/>
        </w:rPr>
        <w:t>规</w:t>
      </w:r>
      <w:proofErr w:type="gramEnd"/>
      <w:r>
        <w:rPr>
          <w:rFonts w:ascii="Times New Roman" w:hint="eastAsia"/>
          <w:kern w:val="2"/>
          <w:szCs w:val="21"/>
        </w:rPr>
        <w:t>风险。</w:t>
      </w:r>
    </w:p>
    <w:p w:rsidR="00237D27" w:rsidRDefault="00C831E1">
      <w:pPr>
        <w:pStyle w:val="a5"/>
        <w:rPr>
          <w:rFonts w:hAnsi="黑体" w:cs="黑体"/>
          <w:lang w:bidi="zh-CN"/>
        </w:rPr>
      </w:pPr>
      <w:bookmarkStart w:id="154" w:name="_Toc18472"/>
      <w:bookmarkStart w:id="155" w:name="_Toc17887"/>
      <w:r>
        <w:rPr>
          <w:rFonts w:hAnsi="黑体" w:cs="黑体" w:hint="eastAsia"/>
          <w:lang w:bidi="zh-CN"/>
        </w:rPr>
        <w:t>应用要求</w:t>
      </w:r>
      <w:bookmarkEnd w:id="154"/>
      <w:bookmarkEnd w:id="155"/>
    </w:p>
    <w:p w:rsidR="00237D27" w:rsidRDefault="00C831E1">
      <w:pPr>
        <w:pStyle w:val="aff3"/>
        <w:ind w:firstLineChars="200" w:firstLine="420"/>
        <w:jc w:val="left"/>
        <w:rPr>
          <w:szCs w:val="21"/>
        </w:rPr>
      </w:pPr>
      <w:r>
        <w:rPr>
          <w:rFonts w:hint="eastAsia"/>
          <w:szCs w:val="21"/>
        </w:rPr>
        <w:t>数据治理工具的应用需贴合数据全生命周期流程，满足各环节核心需求，同时保障数据治理效果与业务适配性。包括：</w:t>
      </w:r>
    </w:p>
    <w:p w:rsidR="00237D27" w:rsidRDefault="00C831E1">
      <w:pPr>
        <w:pStyle w:val="af0"/>
        <w:numPr>
          <w:ilvl w:val="0"/>
          <w:numId w:val="35"/>
        </w:numPr>
        <w:jc w:val="left"/>
        <w:rPr>
          <w:rFonts w:ascii="Times New Roman"/>
          <w:kern w:val="2"/>
          <w:szCs w:val="21"/>
        </w:rPr>
      </w:pPr>
      <w:r>
        <w:rPr>
          <w:rFonts w:ascii="Times New Roman" w:hint="eastAsia"/>
          <w:kern w:val="2"/>
          <w:szCs w:val="21"/>
        </w:rPr>
        <w:t>数据采集：应支持多源异构数据接入，确保采集过程实时性或准实时性，同时保障采集数据的完整性，避免关键信息丢失。</w:t>
      </w:r>
    </w:p>
    <w:p w:rsidR="00237D27" w:rsidRDefault="00C831E1">
      <w:pPr>
        <w:pStyle w:val="af0"/>
        <w:numPr>
          <w:ilvl w:val="0"/>
          <w:numId w:val="35"/>
        </w:numPr>
        <w:jc w:val="left"/>
        <w:rPr>
          <w:rFonts w:ascii="Times New Roman"/>
          <w:kern w:val="2"/>
          <w:szCs w:val="21"/>
        </w:rPr>
      </w:pPr>
      <w:r>
        <w:rPr>
          <w:rFonts w:ascii="Times New Roman" w:hint="eastAsia"/>
          <w:kern w:val="2"/>
          <w:szCs w:val="21"/>
        </w:rPr>
        <w:t>数据存储：应具备分类存储能力，适配不同类型数据（结构化、非结构化等），同时满足数据存储的安全性、稳定性及可扩展性，支撑数据长期管理。</w:t>
      </w:r>
    </w:p>
    <w:p w:rsidR="00237D27" w:rsidRDefault="00C831E1">
      <w:pPr>
        <w:pStyle w:val="af0"/>
        <w:numPr>
          <w:ilvl w:val="0"/>
          <w:numId w:val="35"/>
        </w:numPr>
        <w:jc w:val="left"/>
        <w:rPr>
          <w:rFonts w:ascii="Times New Roman"/>
          <w:kern w:val="2"/>
          <w:szCs w:val="21"/>
        </w:rPr>
      </w:pPr>
      <w:r>
        <w:rPr>
          <w:rFonts w:ascii="Times New Roman" w:hint="eastAsia"/>
          <w:kern w:val="2"/>
          <w:szCs w:val="21"/>
        </w:rPr>
        <w:t>数据计算：应具备高效的数据加工能力，能精准完成数据转换、聚合等操作，且计算过程需符合数据标准化规则，保障输出数据的合</w:t>
      </w:r>
      <w:proofErr w:type="gramStart"/>
      <w:r>
        <w:rPr>
          <w:rFonts w:ascii="Times New Roman" w:hint="eastAsia"/>
          <w:kern w:val="2"/>
          <w:szCs w:val="21"/>
        </w:rPr>
        <w:t>规</w:t>
      </w:r>
      <w:proofErr w:type="gramEnd"/>
      <w:r>
        <w:rPr>
          <w:rFonts w:ascii="Times New Roman" w:hint="eastAsia"/>
          <w:kern w:val="2"/>
          <w:szCs w:val="21"/>
        </w:rPr>
        <w:t>性。</w:t>
      </w:r>
    </w:p>
    <w:p w:rsidR="00237D27" w:rsidRDefault="00C831E1">
      <w:pPr>
        <w:pStyle w:val="af0"/>
        <w:numPr>
          <w:ilvl w:val="0"/>
          <w:numId w:val="35"/>
        </w:numPr>
        <w:jc w:val="left"/>
        <w:rPr>
          <w:rFonts w:ascii="Times New Roman"/>
          <w:kern w:val="2"/>
          <w:szCs w:val="21"/>
        </w:rPr>
      </w:pPr>
      <w:r>
        <w:rPr>
          <w:rFonts w:ascii="Times New Roman" w:hint="eastAsia"/>
          <w:kern w:val="2"/>
          <w:szCs w:val="21"/>
        </w:rPr>
        <w:t>数据分析：应具备清晰的分析逻辑与可视化能力，能基于高质量数据挖掘价值，同时支持按需调整分析维度，为业务决策提供有效支撑。</w:t>
      </w:r>
    </w:p>
    <w:p w:rsidR="00237D27" w:rsidRDefault="00C831E1">
      <w:pPr>
        <w:pStyle w:val="af0"/>
        <w:numPr>
          <w:ilvl w:val="0"/>
          <w:numId w:val="35"/>
        </w:numPr>
        <w:jc w:val="left"/>
        <w:rPr>
          <w:rFonts w:ascii="Times New Roman"/>
          <w:kern w:val="2"/>
          <w:szCs w:val="21"/>
        </w:rPr>
      </w:pPr>
      <w:r>
        <w:rPr>
          <w:rFonts w:ascii="Times New Roman" w:hint="eastAsia"/>
          <w:kern w:val="2"/>
          <w:szCs w:val="21"/>
        </w:rPr>
        <w:t>数据质量与安全管控：应支持灵活配置质量检测规则以识别并修复数据问题，同时具备数据脱敏、访问权限管控等安全能力，兼顾数据质量达标与信息安全防护。</w:t>
      </w:r>
    </w:p>
    <w:p w:rsidR="00237D27" w:rsidRDefault="00C831E1">
      <w:pPr>
        <w:pStyle w:val="a5"/>
        <w:rPr>
          <w:rFonts w:hAnsi="黑体" w:cs="黑体"/>
          <w:lang w:bidi="zh-CN"/>
        </w:rPr>
      </w:pPr>
      <w:r>
        <w:rPr>
          <w:rFonts w:hAnsi="黑体" w:cs="黑体" w:hint="eastAsia"/>
          <w:lang w:bidi="zh-CN"/>
        </w:rPr>
        <w:t>核电行业特殊工具要求</w:t>
      </w:r>
    </w:p>
    <w:p w:rsidR="00237D27" w:rsidRDefault="00C831E1">
      <w:pPr>
        <w:pStyle w:val="aff3"/>
        <w:ind w:firstLineChars="200" w:firstLine="420"/>
        <w:jc w:val="left"/>
        <w:rPr>
          <w:szCs w:val="21"/>
        </w:rPr>
      </w:pPr>
      <w:r>
        <w:rPr>
          <w:rFonts w:hint="eastAsia"/>
          <w:szCs w:val="21"/>
        </w:rPr>
        <w:t>数据治理工具应支持核电行业涉密数据、核安全级数据的分类分级管理，具备数据审计、访问追溯、防篡改等功能，满足核安全监管与数据合</w:t>
      </w:r>
      <w:proofErr w:type="gramStart"/>
      <w:r>
        <w:rPr>
          <w:rFonts w:hint="eastAsia"/>
          <w:szCs w:val="21"/>
        </w:rPr>
        <w:t>规</w:t>
      </w:r>
      <w:proofErr w:type="gramEnd"/>
      <w:r>
        <w:rPr>
          <w:rFonts w:hint="eastAsia"/>
          <w:szCs w:val="21"/>
        </w:rPr>
        <w:t>要求。</w:t>
      </w:r>
    </w:p>
    <w:p w:rsidR="00237D27" w:rsidRDefault="00C831E1">
      <w:pPr>
        <w:pStyle w:val="a4"/>
      </w:pPr>
      <w:bookmarkStart w:id="156" w:name="_Toc8945"/>
      <w:r>
        <w:rPr>
          <w:rFonts w:hint="eastAsia"/>
        </w:rPr>
        <w:t>数据治理的前景展望</w:t>
      </w:r>
      <w:bookmarkEnd w:id="156"/>
    </w:p>
    <w:p w:rsidR="00237D27" w:rsidRDefault="00C831E1">
      <w:pPr>
        <w:pStyle w:val="a5"/>
        <w:rPr>
          <w:rFonts w:hAnsi="黑体" w:cs="黑体"/>
          <w:lang w:bidi="zh-CN"/>
        </w:rPr>
      </w:pPr>
      <w:bookmarkStart w:id="157" w:name="_Toc20184"/>
      <w:r>
        <w:rPr>
          <w:rStyle w:val="afff6"/>
          <w:rFonts w:ascii="Segoe UI" w:eastAsia="宋体" w:hAnsi="Segoe UI" w:cs="Segoe UI" w:hint="eastAsia"/>
          <w:bCs/>
          <w:shd w:val="clear" w:color="auto" w:fill="FFFFFF"/>
        </w:rPr>
        <w:t>智</w:t>
      </w:r>
      <w:r>
        <w:rPr>
          <w:rStyle w:val="afff6"/>
          <w:rFonts w:ascii="Segoe UI" w:eastAsia="Segoe UI" w:hAnsi="Segoe UI" w:cs="Segoe UI"/>
          <w:bCs/>
          <w:shd w:val="clear" w:color="auto" w:fill="FFFFFF"/>
        </w:rPr>
        <w:t>能化转型的数据治理引擎</w:t>
      </w:r>
      <w:bookmarkEnd w:id="157"/>
    </w:p>
    <w:p w:rsidR="00237D27" w:rsidRDefault="00C831E1">
      <w:pPr>
        <w:pStyle w:val="af0"/>
        <w:numPr>
          <w:ilvl w:val="0"/>
          <w:numId w:val="0"/>
        </w:numPr>
        <w:ind w:left="420" w:firstLineChars="200" w:firstLine="420"/>
        <w:jc w:val="left"/>
      </w:pPr>
      <w:r>
        <w:rPr>
          <w:rFonts w:ascii="Times New Roman" w:hint="eastAsia"/>
          <w:kern w:val="2"/>
          <w:szCs w:val="21"/>
        </w:rPr>
        <w:t>在核电工程建设中，数据治理通过标准化、清洗和整合数据，为</w:t>
      </w:r>
      <w:r>
        <w:rPr>
          <w:rFonts w:ascii="Times New Roman" w:hint="eastAsia"/>
          <w:kern w:val="2"/>
          <w:szCs w:val="21"/>
        </w:rPr>
        <w:t>AI</w:t>
      </w:r>
      <w:r>
        <w:rPr>
          <w:rFonts w:ascii="Times New Roman" w:hint="eastAsia"/>
          <w:kern w:val="2"/>
          <w:szCs w:val="21"/>
        </w:rPr>
        <w:t>人工智能、数字孪生、大数据分析、</w:t>
      </w:r>
      <w:proofErr w:type="gramStart"/>
      <w:r>
        <w:rPr>
          <w:rFonts w:ascii="Times New Roman" w:hint="eastAsia"/>
          <w:kern w:val="2"/>
          <w:szCs w:val="21"/>
        </w:rPr>
        <w:t>数智系统</w:t>
      </w:r>
      <w:proofErr w:type="gramEnd"/>
      <w:r>
        <w:rPr>
          <w:rFonts w:ascii="Times New Roman" w:hint="eastAsia"/>
          <w:kern w:val="2"/>
          <w:szCs w:val="21"/>
        </w:rPr>
        <w:t>应用等方面提供可靠的数据基础。通过系统性数据管理提升安全性、效率与智能化水平。</w:t>
      </w:r>
    </w:p>
    <w:p w:rsidR="00237D27" w:rsidRDefault="00C831E1">
      <w:pPr>
        <w:pStyle w:val="af0"/>
        <w:numPr>
          <w:ilvl w:val="0"/>
          <w:numId w:val="36"/>
        </w:numPr>
        <w:jc w:val="left"/>
      </w:pPr>
      <w:r>
        <w:rPr>
          <w:rFonts w:hint="eastAsia"/>
        </w:rPr>
        <w:t>AI人工智能应用</w:t>
      </w:r>
    </w:p>
    <w:p w:rsidR="00237D27" w:rsidRDefault="00C831E1">
      <w:pPr>
        <w:pStyle w:val="afff2"/>
      </w:pPr>
      <w:r>
        <w:rPr>
          <w:rFonts w:hint="eastAsia"/>
        </w:rPr>
        <w:lastRenderedPageBreak/>
        <w:t>智能风险预测：利用历史工程数据训练AI模型，预测施工风险（如设备故障、施工误差），结合实时传感器数据实现早期预警，降低核安全风险。</w:t>
      </w:r>
    </w:p>
    <w:p w:rsidR="00237D27" w:rsidRDefault="00C831E1">
      <w:pPr>
        <w:pStyle w:val="afff2"/>
      </w:pPr>
      <w:r>
        <w:rPr>
          <w:rFonts w:hint="eastAsia"/>
        </w:rPr>
        <w:t>自动化质量检测：通过计算机视觉AI自动识别焊接缺陷、混凝土裂缝等，替代传统人工检查，提升质检精度与效率。</w:t>
      </w:r>
    </w:p>
    <w:p w:rsidR="00237D27" w:rsidRDefault="00C831E1">
      <w:pPr>
        <w:pStyle w:val="afff2"/>
      </w:pPr>
      <w:r>
        <w:rPr>
          <w:rFonts w:hint="eastAsia"/>
        </w:rPr>
        <w:t>知识图谱辅助决策：构建核电工程知识图谱，关联设计规范、施工日志与运维数据，辅助工程师快速检索经验案例，优化决策。</w:t>
      </w:r>
    </w:p>
    <w:p w:rsidR="00237D27" w:rsidRDefault="00C831E1">
      <w:pPr>
        <w:pStyle w:val="af0"/>
        <w:numPr>
          <w:ilvl w:val="0"/>
          <w:numId w:val="36"/>
        </w:numPr>
        <w:jc w:val="left"/>
      </w:pPr>
      <w:r>
        <w:rPr>
          <w:rFonts w:hint="eastAsia"/>
        </w:rPr>
        <w:t>数字孪生应用</w:t>
      </w:r>
    </w:p>
    <w:p w:rsidR="00237D27" w:rsidRDefault="00C831E1">
      <w:pPr>
        <w:pStyle w:val="afff2"/>
      </w:pPr>
      <w:r>
        <w:rPr>
          <w:rFonts w:hint="eastAsia"/>
        </w:rPr>
        <w:t>全生命周期仿真：建立高保真数字孪生模型，模拟核电站从设计、施工到运维的全过程，提前验证设计合理性（如管道布局抗震性）。</w:t>
      </w:r>
    </w:p>
    <w:p w:rsidR="00237D27" w:rsidRDefault="00C831E1">
      <w:pPr>
        <w:pStyle w:val="afff2"/>
      </w:pPr>
      <w:r>
        <w:rPr>
          <w:rFonts w:hint="eastAsia"/>
        </w:rPr>
        <w:t>施工进度动态优化：实时同步物理工地数据（如设备安装状态、人员动线），通过孪生体模拟不同调度方案，动态调整施工计划。</w:t>
      </w:r>
    </w:p>
    <w:p w:rsidR="00237D27" w:rsidRDefault="00C831E1">
      <w:pPr>
        <w:pStyle w:val="afff2"/>
      </w:pPr>
      <w:r>
        <w:rPr>
          <w:rFonts w:hint="eastAsia"/>
        </w:rPr>
        <w:t>应急演练虚拟化：在数字孪生</w:t>
      </w:r>
      <w:proofErr w:type="gramStart"/>
      <w:r>
        <w:rPr>
          <w:rFonts w:hint="eastAsia"/>
        </w:rPr>
        <w:t>环境中模拟核</w:t>
      </w:r>
      <w:proofErr w:type="gramEnd"/>
      <w:r>
        <w:rPr>
          <w:rFonts w:hint="eastAsia"/>
        </w:rPr>
        <w:t>泄漏等极端场景，训练应急响应能力，避免真实演练的高成本与高风险。</w:t>
      </w:r>
    </w:p>
    <w:p w:rsidR="00237D27" w:rsidRDefault="00C831E1">
      <w:pPr>
        <w:pStyle w:val="af0"/>
        <w:numPr>
          <w:ilvl w:val="0"/>
          <w:numId w:val="36"/>
        </w:numPr>
        <w:jc w:val="left"/>
      </w:pPr>
      <w:r>
        <w:rPr>
          <w:rFonts w:hint="eastAsia"/>
        </w:rPr>
        <w:t>大数据分析应用</w:t>
      </w:r>
    </w:p>
    <w:p w:rsidR="00237D27" w:rsidRDefault="00C831E1">
      <w:pPr>
        <w:pStyle w:val="afff2"/>
      </w:pPr>
      <w:r>
        <w:rPr>
          <w:rFonts w:hint="eastAsia"/>
        </w:rPr>
        <w:t>供应</w:t>
      </w:r>
      <w:proofErr w:type="gramStart"/>
      <w:r>
        <w:rPr>
          <w:rFonts w:hint="eastAsia"/>
        </w:rPr>
        <w:t>链风险</w:t>
      </w:r>
      <w:proofErr w:type="gramEnd"/>
      <w:r>
        <w:rPr>
          <w:rFonts w:hint="eastAsia"/>
        </w:rPr>
        <w:t>预警：整合供应</w:t>
      </w:r>
      <w:proofErr w:type="gramStart"/>
      <w:r>
        <w:rPr>
          <w:rFonts w:hint="eastAsia"/>
        </w:rPr>
        <w:t>商历史</w:t>
      </w:r>
      <w:proofErr w:type="gramEnd"/>
      <w:r>
        <w:rPr>
          <w:rFonts w:hint="eastAsia"/>
        </w:rPr>
        <w:t>绩效、物流数据、市场行情，分析关键设备交付延迟风险，提前启动备选方案。</w:t>
      </w:r>
    </w:p>
    <w:p w:rsidR="00237D27" w:rsidRDefault="00C831E1">
      <w:pPr>
        <w:pStyle w:val="afff2"/>
      </w:pPr>
      <w:r>
        <w:rPr>
          <w:rFonts w:hint="eastAsia"/>
        </w:rPr>
        <w:t>施工效率根因分析：关联天气、人员排班、设备状态等多维数据，识别影响工期的关键因素（如特定工序瓶颈），优化资源分配。</w:t>
      </w:r>
    </w:p>
    <w:p w:rsidR="00237D27" w:rsidRDefault="00C831E1">
      <w:pPr>
        <w:pStyle w:val="afff2"/>
      </w:pPr>
      <w:r>
        <w:rPr>
          <w:rFonts w:hint="eastAsia"/>
        </w:rPr>
        <w:t>成本超支预测：基于历史项目数据建立回归模型，动态预测预算偏差趋势，辅助成本管控。</w:t>
      </w:r>
    </w:p>
    <w:p w:rsidR="00237D27" w:rsidRDefault="00C831E1">
      <w:pPr>
        <w:pStyle w:val="af0"/>
        <w:numPr>
          <w:ilvl w:val="0"/>
          <w:numId w:val="36"/>
        </w:numPr>
        <w:jc w:val="left"/>
      </w:pPr>
      <w:proofErr w:type="gramStart"/>
      <w:r>
        <w:rPr>
          <w:rFonts w:hint="eastAsia"/>
        </w:rPr>
        <w:t>数智系统</w:t>
      </w:r>
      <w:proofErr w:type="gramEnd"/>
      <w:r>
        <w:rPr>
          <w:rFonts w:hint="eastAsia"/>
        </w:rPr>
        <w:t>应用</w:t>
      </w:r>
    </w:p>
    <w:p w:rsidR="00237D27" w:rsidRDefault="00C831E1">
      <w:pPr>
        <w:pStyle w:val="afff2"/>
      </w:pPr>
      <w:r>
        <w:rPr>
          <w:rFonts w:hint="eastAsia"/>
        </w:rPr>
        <w:t>跨系统数据融合平台：打通设计（BIM）、采购（ERP）、施工（MES）等孤立系统，构建统一数据中台，确保数据一致性与可追溯性。</w:t>
      </w:r>
    </w:p>
    <w:p w:rsidR="00237D27" w:rsidRDefault="00C831E1">
      <w:pPr>
        <w:pStyle w:val="afff2"/>
      </w:pPr>
      <w:r>
        <w:rPr>
          <w:rFonts w:hint="eastAsia"/>
        </w:rPr>
        <w:t>智能文档管理：利用NLP技术自动分类工程图纸、合同文本，实现版本控制与变更关联，避免设计冲突。</w:t>
      </w:r>
    </w:p>
    <w:p w:rsidR="00237D27" w:rsidRDefault="00C831E1">
      <w:pPr>
        <w:pStyle w:val="afff2"/>
      </w:pPr>
      <w:r>
        <w:rPr>
          <w:rFonts w:hint="eastAsia"/>
        </w:rPr>
        <w:t>区块链存证：关键质量验收数据（如焊缝检测报告）上链存证，确保不可篡改，满足核安全监管合</w:t>
      </w:r>
      <w:proofErr w:type="gramStart"/>
      <w:r>
        <w:rPr>
          <w:rFonts w:hint="eastAsia"/>
        </w:rPr>
        <w:t>规</w:t>
      </w:r>
      <w:proofErr w:type="gramEnd"/>
      <w:r>
        <w:rPr>
          <w:rFonts w:hint="eastAsia"/>
        </w:rPr>
        <w:t>要求。</w:t>
      </w:r>
    </w:p>
    <w:p w:rsidR="00237D27" w:rsidRDefault="00C831E1">
      <w:pPr>
        <w:pStyle w:val="af0"/>
        <w:numPr>
          <w:ilvl w:val="0"/>
          <w:numId w:val="36"/>
        </w:numPr>
        <w:jc w:val="left"/>
      </w:pPr>
      <w:r>
        <w:rPr>
          <w:rFonts w:hint="eastAsia"/>
        </w:rPr>
        <w:t>大屏驾驶舱应用</w:t>
      </w:r>
    </w:p>
    <w:p w:rsidR="00237D27" w:rsidRDefault="00C831E1">
      <w:pPr>
        <w:pStyle w:val="afff2"/>
      </w:pPr>
      <w:r>
        <w:rPr>
          <w:rFonts w:hint="eastAsia"/>
        </w:rPr>
        <w:t>全局态势感知：集成工期、成本、质量、安全等核心指标，通过三维可视化大屏实时监控项目健康度，支持管理</w:t>
      </w:r>
      <w:proofErr w:type="gramStart"/>
      <w:r>
        <w:rPr>
          <w:rFonts w:hint="eastAsia"/>
        </w:rPr>
        <w:t>层快速</w:t>
      </w:r>
      <w:proofErr w:type="gramEnd"/>
      <w:r>
        <w:rPr>
          <w:rFonts w:hint="eastAsia"/>
        </w:rPr>
        <w:t>干预。</w:t>
      </w:r>
    </w:p>
    <w:p w:rsidR="00237D27" w:rsidRDefault="00C831E1">
      <w:pPr>
        <w:pStyle w:val="afff2"/>
      </w:pPr>
      <w:r>
        <w:rPr>
          <w:rFonts w:hint="eastAsia"/>
        </w:rPr>
        <w:t>辐射监测可视化：动态展示施工区域辐射水平热力图，结合人员定位数据，确保高危作业安全。</w:t>
      </w:r>
    </w:p>
    <w:p w:rsidR="00237D27" w:rsidRDefault="00C831E1">
      <w:pPr>
        <w:pStyle w:val="afff2"/>
      </w:pPr>
      <w:r>
        <w:rPr>
          <w:rFonts w:hint="eastAsia"/>
        </w:rPr>
        <w:t>资源调度指挥中心：可视化呈现设备利用率、人员分布及材料库存，辅助实时调度决策，减少资源闲置。</w:t>
      </w:r>
    </w:p>
    <w:p w:rsidR="00237D27" w:rsidRDefault="00C831E1">
      <w:pPr>
        <w:pStyle w:val="a5"/>
        <w:rPr>
          <w:rFonts w:hAnsi="黑体" w:cs="黑体"/>
          <w:lang w:bidi="zh-CN"/>
        </w:rPr>
      </w:pPr>
      <w:bookmarkStart w:id="158" w:name="_Toc21779"/>
      <w:r>
        <w:rPr>
          <w:rFonts w:hAnsi="黑体" w:cs="黑体" w:hint="eastAsia"/>
          <w:lang w:bidi="zh-CN"/>
        </w:rPr>
        <w:t>数据资产化和价值化</w:t>
      </w:r>
      <w:bookmarkEnd w:id="158"/>
    </w:p>
    <w:p w:rsidR="00237D27" w:rsidRDefault="00C831E1">
      <w:pPr>
        <w:pStyle w:val="afff2"/>
        <w:rPr>
          <w:rFonts w:hAnsi="宋体" w:cs="宋体"/>
          <w:szCs w:val="21"/>
        </w:rPr>
      </w:pPr>
      <w:r>
        <w:rPr>
          <w:rFonts w:hAnsi="宋体" w:cs="宋体" w:hint="eastAsia"/>
          <w:szCs w:val="21"/>
          <w:shd w:val="clear" w:color="auto" w:fill="FFFFFF"/>
        </w:rPr>
        <w:t>数据治理是核电工程数据资产化和价值化的核心基础，通过提升数据可用性、安全性和互联性，不仅能优化工程效率与安全性，还能释放数据的经济潜力，助力核电行业数字化转型与可持续发展。数据治理在核电工程建设领域的数据资产化和价值化应用前景广阔，主要体现在以下几个方面：</w:t>
      </w:r>
    </w:p>
    <w:p w:rsidR="00237D27" w:rsidRDefault="00C831E1">
      <w:pPr>
        <w:pStyle w:val="af0"/>
        <w:numPr>
          <w:ilvl w:val="0"/>
          <w:numId w:val="37"/>
        </w:numPr>
        <w:jc w:val="left"/>
        <w:rPr>
          <w:rFonts w:hAnsi="宋体" w:cs="宋体"/>
          <w:szCs w:val="21"/>
        </w:rPr>
      </w:pPr>
      <w:r>
        <w:rPr>
          <w:rFonts w:hAnsi="宋体" w:cs="宋体" w:hint="eastAsia"/>
          <w:szCs w:val="21"/>
        </w:rPr>
        <w:t>提升数据质量与标准化</w:t>
      </w:r>
    </w:p>
    <w:p w:rsidR="00237D27" w:rsidRDefault="00C831E1">
      <w:pPr>
        <w:ind w:firstLineChars="200" w:firstLine="420"/>
        <w:rPr>
          <w:rFonts w:ascii="宋体" w:hAnsi="宋体" w:cs="宋体"/>
          <w:szCs w:val="21"/>
        </w:rPr>
      </w:pPr>
      <w:r>
        <w:rPr>
          <w:rFonts w:ascii="宋体" w:hAnsi="宋体" w:cs="宋体" w:hint="eastAsia"/>
          <w:szCs w:val="21"/>
        </w:rPr>
        <w:t>统一标准：通过数据治理建立统一的数据标准和规范，确保核电工程全生命周期的数据一致性和准确性，减少因数据错误导致的工程风险。</w:t>
      </w:r>
    </w:p>
    <w:p w:rsidR="00237D27" w:rsidRDefault="00C831E1">
      <w:pPr>
        <w:ind w:firstLineChars="200" w:firstLine="420"/>
        <w:rPr>
          <w:rFonts w:ascii="宋体" w:hAnsi="宋体" w:cs="宋体"/>
          <w:szCs w:val="21"/>
        </w:rPr>
      </w:pPr>
      <w:r>
        <w:rPr>
          <w:rFonts w:ascii="宋体" w:hAnsi="宋体" w:cs="宋体" w:hint="eastAsia"/>
          <w:szCs w:val="21"/>
        </w:rPr>
        <w:t>数据清洗与整合：整合多源异构数据，消除数据孤岛，为资产化奠定基础。</w:t>
      </w:r>
    </w:p>
    <w:p w:rsidR="00237D27" w:rsidRDefault="00C831E1">
      <w:pPr>
        <w:pStyle w:val="af0"/>
        <w:numPr>
          <w:ilvl w:val="0"/>
          <w:numId w:val="37"/>
        </w:numPr>
        <w:jc w:val="left"/>
        <w:rPr>
          <w:rFonts w:hAnsi="宋体" w:cs="宋体"/>
          <w:szCs w:val="21"/>
        </w:rPr>
      </w:pPr>
      <w:r>
        <w:rPr>
          <w:rFonts w:hAnsi="宋体" w:cs="宋体" w:hint="eastAsia"/>
          <w:szCs w:val="21"/>
        </w:rPr>
        <w:t>实现数据资产化</w:t>
      </w:r>
    </w:p>
    <w:p w:rsidR="00237D27" w:rsidRDefault="00C831E1">
      <w:pPr>
        <w:ind w:firstLineChars="200" w:firstLine="420"/>
        <w:rPr>
          <w:rFonts w:ascii="宋体" w:hAnsi="宋体" w:cs="宋体"/>
          <w:szCs w:val="21"/>
        </w:rPr>
      </w:pPr>
      <w:r>
        <w:rPr>
          <w:rFonts w:ascii="宋体" w:hAnsi="宋体" w:cs="宋体" w:hint="eastAsia"/>
          <w:szCs w:val="21"/>
        </w:rPr>
        <w:t>确权与估值：明确数据所有权（如业主、承包商、供应商），通过数据治理框架评估数据经济价值，</w:t>
      </w:r>
      <w:r>
        <w:rPr>
          <w:rFonts w:ascii="宋体" w:hAnsi="宋体" w:cs="宋体" w:hint="eastAsia"/>
          <w:szCs w:val="21"/>
        </w:rPr>
        <w:lastRenderedPageBreak/>
        <w:t>为交易或共享提供依据。</w:t>
      </w:r>
    </w:p>
    <w:p w:rsidR="00237D27" w:rsidRDefault="00C831E1">
      <w:pPr>
        <w:ind w:firstLineChars="200" w:firstLine="420"/>
        <w:rPr>
          <w:rFonts w:ascii="宋体" w:hAnsi="宋体" w:cs="宋体"/>
          <w:szCs w:val="21"/>
        </w:rPr>
      </w:pPr>
      <w:r>
        <w:rPr>
          <w:rFonts w:ascii="宋体" w:hAnsi="宋体" w:cs="宋体" w:hint="eastAsia"/>
          <w:szCs w:val="21"/>
        </w:rPr>
        <w:t>数据产品开发：将工程数据（如安全监测数据、设备性能数据）转化为可交易的标准化产品，服务于行业上下游。</w:t>
      </w:r>
    </w:p>
    <w:p w:rsidR="00237D27" w:rsidRDefault="00C831E1">
      <w:pPr>
        <w:pStyle w:val="af0"/>
        <w:numPr>
          <w:ilvl w:val="0"/>
          <w:numId w:val="37"/>
        </w:numPr>
        <w:jc w:val="left"/>
        <w:rPr>
          <w:rFonts w:hAnsi="宋体" w:cs="宋体"/>
          <w:szCs w:val="21"/>
        </w:rPr>
      </w:pPr>
      <w:r>
        <w:rPr>
          <w:rFonts w:hAnsi="宋体" w:cs="宋体" w:hint="eastAsia"/>
          <w:szCs w:val="21"/>
        </w:rPr>
        <w:t>强化安全与合</w:t>
      </w:r>
      <w:proofErr w:type="gramStart"/>
      <w:r>
        <w:rPr>
          <w:rFonts w:hAnsi="宋体" w:cs="宋体" w:hint="eastAsia"/>
          <w:szCs w:val="21"/>
        </w:rPr>
        <w:t>规</w:t>
      </w:r>
      <w:proofErr w:type="gramEnd"/>
    </w:p>
    <w:p w:rsidR="00237D27" w:rsidRDefault="00C831E1">
      <w:pPr>
        <w:ind w:firstLineChars="200" w:firstLine="420"/>
        <w:rPr>
          <w:rFonts w:ascii="宋体" w:hAnsi="宋体" w:cs="宋体"/>
          <w:szCs w:val="21"/>
        </w:rPr>
      </w:pPr>
      <w:r>
        <w:rPr>
          <w:rFonts w:ascii="宋体" w:hAnsi="宋体" w:cs="宋体" w:hint="eastAsia"/>
          <w:szCs w:val="21"/>
        </w:rPr>
        <w:t>敏感数据保护：核电数据涉及国家安全，治理体系可分类分级管理数据，确保敏感信息（如核岛设计）的合</w:t>
      </w:r>
      <w:proofErr w:type="gramStart"/>
      <w:r>
        <w:rPr>
          <w:rFonts w:ascii="宋体" w:hAnsi="宋体" w:cs="宋体" w:hint="eastAsia"/>
          <w:szCs w:val="21"/>
        </w:rPr>
        <w:t>规</w:t>
      </w:r>
      <w:proofErr w:type="gramEnd"/>
      <w:r>
        <w:rPr>
          <w:rFonts w:ascii="宋体" w:hAnsi="宋体" w:cs="宋体" w:hint="eastAsia"/>
          <w:szCs w:val="21"/>
        </w:rPr>
        <w:t>存储与共享。</w:t>
      </w:r>
    </w:p>
    <w:p w:rsidR="00237D27" w:rsidRDefault="00C831E1">
      <w:pPr>
        <w:ind w:firstLineChars="200" w:firstLine="420"/>
        <w:rPr>
          <w:rFonts w:ascii="宋体" w:hAnsi="宋体" w:cs="宋体"/>
          <w:szCs w:val="21"/>
        </w:rPr>
      </w:pPr>
      <w:r>
        <w:rPr>
          <w:rFonts w:ascii="宋体" w:hAnsi="宋体" w:cs="宋体" w:hint="eastAsia"/>
          <w:szCs w:val="21"/>
        </w:rPr>
        <w:t>满足监管要求：符合国际原子能机构（IAEA）等法规，支撑安全审计与追溯。</w:t>
      </w:r>
    </w:p>
    <w:p w:rsidR="00237D27" w:rsidRDefault="00C831E1">
      <w:pPr>
        <w:pStyle w:val="af0"/>
        <w:numPr>
          <w:ilvl w:val="0"/>
          <w:numId w:val="37"/>
        </w:numPr>
        <w:jc w:val="left"/>
        <w:rPr>
          <w:rFonts w:hAnsi="宋体" w:cs="宋体"/>
          <w:szCs w:val="21"/>
        </w:rPr>
      </w:pPr>
      <w:r>
        <w:rPr>
          <w:rFonts w:hAnsi="宋体" w:cs="宋体" w:hint="eastAsia"/>
          <w:szCs w:val="21"/>
        </w:rPr>
        <w:t>促进跨领域协同</w:t>
      </w:r>
    </w:p>
    <w:p w:rsidR="00237D27" w:rsidRDefault="00C831E1">
      <w:pPr>
        <w:ind w:firstLineChars="200" w:firstLine="420"/>
        <w:rPr>
          <w:rFonts w:ascii="宋体" w:hAnsi="宋体" w:cs="宋体"/>
          <w:szCs w:val="21"/>
        </w:rPr>
      </w:pPr>
      <w:r>
        <w:rPr>
          <w:rFonts w:ascii="宋体" w:hAnsi="宋体" w:cs="宋体" w:hint="eastAsia"/>
          <w:szCs w:val="21"/>
        </w:rPr>
        <w:t>供应链协同：共享治理后的供应链数据（如设备供应商、施工方），提升协作效率。</w:t>
      </w:r>
    </w:p>
    <w:p w:rsidR="00237D27" w:rsidRDefault="00C831E1">
      <w:pPr>
        <w:ind w:firstLineChars="200" w:firstLine="420"/>
        <w:rPr>
          <w:rFonts w:ascii="宋体" w:hAnsi="宋体" w:cs="宋体"/>
          <w:szCs w:val="21"/>
        </w:rPr>
      </w:pPr>
      <w:r>
        <w:rPr>
          <w:rFonts w:ascii="宋体" w:hAnsi="宋体" w:cs="宋体" w:hint="eastAsia"/>
          <w:szCs w:val="21"/>
        </w:rPr>
        <w:t>行业知识沉淀：将历史项目数据转化为知识库，支持未来核电项目的快速迭代。</w:t>
      </w:r>
    </w:p>
    <w:p w:rsidR="00237D27" w:rsidRDefault="00C831E1">
      <w:pPr>
        <w:pStyle w:val="af0"/>
        <w:numPr>
          <w:ilvl w:val="0"/>
          <w:numId w:val="37"/>
        </w:numPr>
        <w:jc w:val="left"/>
        <w:rPr>
          <w:rFonts w:hAnsi="宋体" w:cs="宋体"/>
          <w:szCs w:val="21"/>
        </w:rPr>
      </w:pPr>
      <w:r>
        <w:rPr>
          <w:rFonts w:hAnsi="宋体" w:cs="宋体" w:hint="eastAsia"/>
          <w:szCs w:val="21"/>
        </w:rPr>
        <w:t>推动创新商业模式</w:t>
      </w:r>
    </w:p>
    <w:p w:rsidR="00237D27" w:rsidRDefault="00C831E1">
      <w:pPr>
        <w:ind w:firstLineChars="200" w:firstLine="420"/>
        <w:rPr>
          <w:rFonts w:ascii="黑体" w:eastAsia="黑体" w:hAnsi="黑体"/>
          <w:szCs w:val="21"/>
        </w:rPr>
      </w:pPr>
      <w:r>
        <w:rPr>
          <w:rFonts w:ascii="宋体" w:hAnsi="宋体" w:cs="宋体" w:hint="eastAsia"/>
          <w:szCs w:val="21"/>
        </w:rPr>
        <w:t>数据服务变现：核电企业可对外提供数据服务（如设备健康状态分析），开辟新营收渠道。</w:t>
      </w:r>
      <w:r>
        <w:rPr>
          <w:rFonts w:ascii="黑体" w:eastAsia="黑体" w:hAnsi="黑体" w:hint="eastAsia"/>
          <w:szCs w:val="21"/>
        </w:rPr>
        <w:br w:type="page"/>
      </w:r>
    </w:p>
    <w:p w:rsidR="00237D27" w:rsidRPr="00BF2D05" w:rsidRDefault="00C831E1">
      <w:pPr>
        <w:pStyle w:val="affffff3"/>
        <w:rPr>
          <w:sz w:val="21"/>
          <w:szCs w:val="21"/>
        </w:rPr>
      </w:pPr>
      <w:bookmarkStart w:id="159" w:name="_Toc20032"/>
      <w:bookmarkStart w:id="160" w:name="_Toc10368"/>
      <w:r>
        <w:rPr>
          <w:rFonts w:hint="eastAsia"/>
          <w:sz w:val="21"/>
          <w:szCs w:val="21"/>
        </w:rPr>
        <w:lastRenderedPageBreak/>
        <w:t>附录A</w:t>
      </w:r>
      <w:bookmarkEnd w:id="159"/>
      <w:bookmarkEnd w:id="160"/>
      <w:r>
        <w:rPr>
          <w:sz w:val="21"/>
          <w:szCs w:val="21"/>
        </w:rPr>
        <w:t xml:space="preserve"> </w:t>
      </w:r>
    </w:p>
    <w:p w:rsidR="00237D27" w:rsidRPr="00BF2D05" w:rsidRDefault="00C831E1">
      <w:pPr>
        <w:jc w:val="center"/>
        <w:rPr>
          <w:rFonts w:ascii="黑体" w:eastAsia="黑体" w:hAnsi="黑体" w:cs="黑体"/>
          <w:szCs w:val="21"/>
        </w:rPr>
      </w:pPr>
      <w:bookmarkStart w:id="161" w:name="_Toc22192"/>
      <w:r w:rsidRPr="00BF2D05">
        <w:rPr>
          <w:rFonts w:ascii="黑体" w:eastAsia="黑体" w:hAnsi="黑体" w:cs="黑体" w:hint="eastAsia"/>
          <w:szCs w:val="21"/>
        </w:rPr>
        <w:t>（规范性）</w:t>
      </w:r>
      <w:bookmarkEnd w:id="161"/>
    </w:p>
    <w:p w:rsidR="00237D27" w:rsidRPr="00BF2D05" w:rsidRDefault="00C831E1">
      <w:pPr>
        <w:jc w:val="center"/>
        <w:rPr>
          <w:rFonts w:ascii="黑体" w:eastAsia="黑体" w:hAnsi="黑体" w:cs="黑体"/>
          <w:szCs w:val="21"/>
        </w:rPr>
      </w:pPr>
      <w:bookmarkStart w:id="162" w:name="_Toc15063"/>
      <w:r w:rsidRPr="00BF2D05">
        <w:rPr>
          <w:rFonts w:ascii="黑体" w:eastAsia="黑体" w:hAnsi="黑体" w:cs="黑体" w:hint="eastAsia"/>
          <w:szCs w:val="21"/>
        </w:rPr>
        <w:t>数据管理体系治理要求</w:t>
      </w:r>
      <w:bookmarkEnd w:id="162"/>
    </w:p>
    <w:p w:rsidR="00237D27" w:rsidRDefault="00C831E1">
      <w:pPr>
        <w:pStyle w:val="afffffff"/>
        <w:framePr w:hSpace="0" w:vSpace="0" w:wrap="auto" w:vAnchor="margin" w:hAnchor="text" w:xAlign="left" w:yAlign="inline"/>
        <w:tabs>
          <w:tab w:val="left" w:pos="626"/>
        </w:tabs>
        <w:outlineLvl w:val="1"/>
        <w:rPr>
          <w:rFonts w:ascii="黑体" w:eastAsia="黑体"/>
        </w:rPr>
      </w:pPr>
      <w:bookmarkStart w:id="163" w:name="_Toc12300"/>
      <w:r>
        <w:rPr>
          <w:rFonts w:ascii="黑体" w:eastAsia="黑体" w:hint="eastAsia"/>
        </w:rPr>
        <w:t>A.1 总则</w:t>
      </w:r>
    </w:p>
    <w:p w:rsidR="00237D27" w:rsidRDefault="00237D27">
      <w:pPr>
        <w:pStyle w:val="afffffff"/>
        <w:framePr w:hSpace="0" w:vSpace="0" w:wrap="auto" w:vAnchor="margin" w:hAnchor="text" w:xAlign="left" w:yAlign="inline"/>
        <w:tabs>
          <w:tab w:val="left" w:pos="626"/>
        </w:tabs>
      </w:pPr>
    </w:p>
    <w:p w:rsidR="00237D27" w:rsidRDefault="00C831E1">
      <w:pPr>
        <w:pStyle w:val="afffffff"/>
        <w:framePr w:hSpace="0" w:vSpace="0" w:wrap="auto" w:vAnchor="margin" w:hAnchor="text" w:xAlign="left" w:yAlign="inline"/>
        <w:tabs>
          <w:tab w:val="left" w:pos="626"/>
        </w:tabs>
        <w:ind w:firstLineChars="200" w:firstLine="420"/>
      </w:pPr>
      <w:r>
        <w:rPr>
          <w:rFonts w:hint="eastAsia"/>
        </w:rPr>
        <w:t>数据管理体系应覆盖核电工程建设全生命周期，围绕数据标准、数据质量、数据安全、元数据、数据共享与数据全生命周期管理建立统一治理要求，确保数据可信、可用、可管、可追溯。</w:t>
      </w:r>
    </w:p>
    <w:p w:rsidR="00237D27" w:rsidRDefault="00C831E1">
      <w:pPr>
        <w:pStyle w:val="a4"/>
        <w:numPr>
          <w:ilvl w:val="255"/>
          <w:numId w:val="0"/>
        </w:numPr>
      </w:pPr>
      <w:r>
        <w:rPr>
          <w:rFonts w:hint="eastAsia"/>
        </w:rPr>
        <w:t>A.2 数据标准</w:t>
      </w:r>
      <w:bookmarkEnd w:id="163"/>
    </w:p>
    <w:p w:rsidR="00237D27" w:rsidRDefault="00C831E1">
      <w:pPr>
        <w:pStyle w:val="a4"/>
        <w:numPr>
          <w:ilvl w:val="0"/>
          <w:numId w:val="0"/>
        </w:numPr>
        <w:spacing w:beforeLines="0" w:before="0" w:afterLines="0" w:after="0"/>
        <w:ind w:firstLineChars="200" w:firstLine="420"/>
        <w:jc w:val="left"/>
        <w:outlineLvl w:val="9"/>
        <w:rPr>
          <w:rFonts w:ascii="宋体" w:eastAsia="宋体" w:hAnsi="宋体" w:cs="宋体"/>
        </w:rPr>
      </w:pPr>
      <w:r>
        <w:rPr>
          <w:rFonts w:ascii="宋体" w:eastAsia="宋体" w:hAnsi="宋体" w:cs="宋体" w:hint="eastAsia"/>
        </w:rPr>
        <w:t>数据标准按类型可分为业务术语标准、</w:t>
      </w:r>
      <w:proofErr w:type="gramStart"/>
      <w:r>
        <w:rPr>
          <w:rFonts w:ascii="宋体" w:eastAsia="宋体" w:hAnsi="宋体" w:cs="宋体" w:hint="eastAsia"/>
        </w:rPr>
        <w:t>主数据</w:t>
      </w:r>
      <w:proofErr w:type="gramEnd"/>
      <w:r>
        <w:rPr>
          <w:rFonts w:ascii="宋体" w:eastAsia="宋体" w:hAnsi="宋体" w:cs="宋体" w:hint="eastAsia"/>
        </w:rPr>
        <w:t>标准、参考数据标准、指标数据标准、数据元标准等。针对不同类型的数据标准，应制定相应模板与样例，支撑各部门理解与落地。</w:t>
      </w:r>
    </w:p>
    <w:p w:rsidR="00237D27" w:rsidRDefault="00C831E1">
      <w:pPr>
        <w:pStyle w:val="a4"/>
        <w:numPr>
          <w:ilvl w:val="0"/>
          <w:numId w:val="0"/>
        </w:numPr>
        <w:spacing w:beforeLines="0" w:before="0" w:afterLines="0" w:after="0"/>
        <w:ind w:leftChars="90" w:left="189" w:firstLineChars="100" w:firstLine="210"/>
        <w:jc w:val="left"/>
        <w:outlineLvl w:val="9"/>
        <w:rPr>
          <w:rFonts w:ascii="宋体" w:eastAsia="宋体" w:hAnsi="宋体" w:cs="宋体"/>
        </w:rPr>
      </w:pPr>
      <w:r>
        <w:rPr>
          <w:rFonts w:ascii="宋体" w:eastAsia="宋体" w:hAnsi="宋体" w:cs="宋体" w:hint="eastAsia"/>
        </w:rPr>
        <w:t>数据标准管理应遵循的要求：</w:t>
      </w:r>
    </w:p>
    <w:p w:rsidR="00237D27" w:rsidRDefault="00C831E1">
      <w:pPr>
        <w:pStyle w:val="af0"/>
        <w:numPr>
          <w:ilvl w:val="0"/>
          <w:numId w:val="38"/>
        </w:numPr>
        <w:jc w:val="left"/>
        <w:rPr>
          <w:rFonts w:hAnsi="宋体" w:cs="宋体"/>
          <w:kern w:val="2"/>
          <w:szCs w:val="24"/>
        </w:rPr>
      </w:pPr>
      <w:r>
        <w:rPr>
          <w:rFonts w:hAnsi="宋体" w:cs="宋体" w:hint="eastAsia"/>
        </w:rPr>
        <w:t>数据标准制定应以业务需求为导向，由数据产生部门、使用部门、归口管理部门共同参与，按模板制定并经统一审查后发布。</w:t>
      </w:r>
    </w:p>
    <w:p w:rsidR="00237D27" w:rsidRDefault="00C831E1">
      <w:pPr>
        <w:pStyle w:val="af0"/>
        <w:numPr>
          <w:ilvl w:val="0"/>
          <w:numId w:val="38"/>
        </w:numPr>
        <w:jc w:val="left"/>
        <w:rPr>
          <w:rFonts w:hAnsi="宋体" w:cs="宋体"/>
          <w:kern w:val="2"/>
          <w:szCs w:val="24"/>
        </w:rPr>
      </w:pPr>
      <w:r>
        <w:rPr>
          <w:rFonts w:hAnsi="宋体" w:cs="宋体" w:hint="eastAsia"/>
        </w:rPr>
        <w:t>业务系统的设计、开发及数据录入、变更，均应严格遵循已发布的数据标准。</w:t>
      </w:r>
    </w:p>
    <w:p w:rsidR="00237D27" w:rsidRDefault="00C831E1">
      <w:pPr>
        <w:pStyle w:val="af0"/>
        <w:numPr>
          <w:ilvl w:val="0"/>
          <w:numId w:val="38"/>
        </w:numPr>
        <w:jc w:val="left"/>
        <w:rPr>
          <w:rFonts w:hAnsi="宋体" w:cs="宋体"/>
          <w:kern w:val="2"/>
          <w:szCs w:val="24"/>
        </w:rPr>
      </w:pPr>
      <w:r>
        <w:rPr>
          <w:rFonts w:hAnsi="宋体" w:cs="宋体" w:hint="eastAsia"/>
        </w:rPr>
        <w:t>数据标准责任部门应基于内外部需求变化，动态开展标准的新增、修订、废止及版本更新等维护工作。</w:t>
      </w:r>
    </w:p>
    <w:p w:rsidR="00237D27" w:rsidRDefault="00C831E1">
      <w:pPr>
        <w:pStyle w:val="af0"/>
        <w:numPr>
          <w:ilvl w:val="0"/>
          <w:numId w:val="0"/>
        </w:numPr>
        <w:ind w:left="420"/>
        <w:jc w:val="left"/>
        <w:rPr>
          <w:rFonts w:hAnsi="宋体" w:cs="宋体"/>
        </w:rPr>
      </w:pPr>
      <w:r>
        <w:rPr>
          <w:rFonts w:hAnsi="宋体" w:cs="宋体" w:hint="eastAsia"/>
        </w:rPr>
        <w:t>数据标准管理</w:t>
      </w:r>
      <w:r>
        <w:rPr>
          <w:rFonts w:hint="eastAsia"/>
        </w:rPr>
        <w:t>宜采用的</w:t>
      </w:r>
      <w:r>
        <w:rPr>
          <w:rFonts w:hAnsi="宋体" w:cs="宋体" w:hint="eastAsia"/>
        </w:rPr>
        <w:t>实施方法：</w:t>
      </w:r>
    </w:p>
    <w:p w:rsidR="00237D27" w:rsidRDefault="00C831E1">
      <w:pPr>
        <w:pStyle w:val="af0"/>
        <w:numPr>
          <w:ilvl w:val="0"/>
          <w:numId w:val="39"/>
        </w:numPr>
        <w:jc w:val="left"/>
        <w:rPr>
          <w:rFonts w:hAnsi="宋体" w:cs="宋体"/>
          <w:kern w:val="2"/>
          <w:szCs w:val="24"/>
        </w:rPr>
      </w:pPr>
      <w:r>
        <w:rPr>
          <w:rFonts w:hAnsi="宋体" w:cs="宋体" w:hint="eastAsia"/>
        </w:rPr>
        <w:t>建立覆盖设计、采购、施工、</w:t>
      </w:r>
      <w:proofErr w:type="gramStart"/>
      <w:r>
        <w:rPr>
          <w:rFonts w:hAnsi="宋体" w:cs="宋体" w:hint="eastAsia"/>
        </w:rPr>
        <w:t>调试全阶段</w:t>
      </w:r>
      <w:proofErr w:type="gramEnd"/>
      <w:r>
        <w:rPr>
          <w:rFonts w:hAnsi="宋体" w:cs="宋体" w:hint="eastAsia"/>
        </w:rPr>
        <w:t>的数据标准体系，明确数据命名、编码规则、数据格式、业务含义、计量单位等内容。</w:t>
      </w:r>
    </w:p>
    <w:p w:rsidR="00237D27" w:rsidRDefault="00C831E1">
      <w:pPr>
        <w:pStyle w:val="af0"/>
        <w:numPr>
          <w:ilvl w:val="0"/>
          <w:numId w:val="39"/>
        </w:numPr>
        <w:jc w:val="left"/>
        <w:rPr>
          <w:rFonts w:hAnsi="宋体" w:cs="宋体"/>
          <w:kern w:val="2"/>
          <w:szCs w:val="24"/>
        </w:rPr>
      </w:pPr>
      <w:r>
        <w:rPr>
          <w:rFonts w:hAnsi="宋体" w:cs="宋体" w:hint="eastAsia"/>
        </w:rPr>
        <w:t>明确数据标准从制定、评审、发布、执行到变更与复审的全生命周期流程，确保标准统一、权威、可落地。</w:t>
      </w:r>
    </w:p>
    <w:p w:rsidR="00237D27" w:rsidRDefault="00C831E1">
      <w:pPr>
        <w:pStyle w:val="af0"/>
        <w:numPr>
          <w:ilvl w:val="0"/>
          <w:numId w:val="39"/>
        </w:numPr>
        <w:jc w:val="left"/>
        <w:rPr>
          <w:rFonts w:hAnsi="宋体" w:cs="宋体"/>
          <w:kern w:val="2"/>
          <w:szCs w:val="24"/>
        </w:rPr>
      </w:pPr>
      <w:r>
        <w:rPr>
          <w:rFonts w:hAnsi="宋体" w:cs="宋体" w:hint="eastAsia"/>
        </w:rPr>
        <w:t>对设备编码、系统编码、构筑物编码、专业术语等关键核心数据，实行强制标准化管理。</w:t>
      </w:r>
    </w:p>
    <w:p w:rsidR="00237D27" w:rsidRDefault="00C831E1">
      <w:pPr>
        <w:pStyle w:val="a4"/>
        <w:numPr>
          <w:ilvl w:val="0"/>
          <w:numId w:val="0"/>
        </w:numPr>
        <w:rPr>
          <w:rFonts w:ascii="宋体" w:eastAsia="宋体" w:hAnsi="宋体" w:cs="宋体"/>
          <w:sz w:val="24"/>
          <w:szCs w:val="24"/>
        </w:rPr>
      </w:pPr>
      <w:bookmarkStart w:id="164" w:name="_Toc14178"/>
      <w:r>
        <w:rPr>
          <w:rFonts w:hint="eastAsia"/>
        </w:rPr>
        <w:t>A.3 数据质量</w:t>
      </w:r>
      <w:bookmarkEnd w:id="164"/>
    </w:p>
    <w:p w:rsidR="00237D27" w:rsidRDefault="00C831E1">
      <w:pPr>
        <w:pStyle w:val="a4"/>
        <w:numPr>
          <w:ilvl w:val="0"/>
          <w:numId w:val="0"/>
        </w:numPr>
        <w:spacing w:beforeLines="0" w:before="0" w:afterLines="0" w:after="0"/>
        <w:ind w:firstLineChars="200" w:firstLine="420"/>
        <w:outlineLvl w:val="9"/>
        <w:rPr>
          <w:rFonts w:ascii="宋体" w:eastAsia="宋体" w:hAnsi="宋体" w:cs="宋体"/>
        </w:rPr>
      </w:pPr>
      <w:r>
        <w:rPr>
          <w:rFonts w:ascii="宋体" w:eastAsia="宋体" w:hAnsi="宋体" w:cs="宋体" w:hint="eastAsia"/>
        </w:rPr>
        <w:t>数据质量是保障数据应用效果的基础，主要从完整性、准确性、一致性、及时性、有效性、唯一性等维度度量。数据质量管理是包含数据质量需求确立、检查、分析、提升的全流程管理活动。</w:t>
      </w:r>
    </w:p>
    <w:p w:rsidR="00237D27" w:rsidRDefault="00C831E1">
      <w:pPr>
        <w:pStyle w:val="a4"/>
        <w:numPr>
          <w:ilvl w:val="0"/>
          <w:numId w:val="0"/>
        </w:numPr>
        <w:spacing w:beforeLines="0" w:before="0" w:afterLines="0" w:after="0"/>
        <w:ind w:firstLineChars="200" w:firstLine="420"/>
        <w:outlineLvl w:val="9"/>
        <w:rPr>
          <w:rFonts w:ascii="宋体" w:eastAsia="宋体" w:hAnsi="宋体" w:cs="宋体"/>
        </w:rPr>
      </w:pPr>
      <w:r>
        <w:rPr>
          <w:rFonts w:ascii="宋体" w:eastAsia="宋体" w:hAnsi="宋体" w:cs="宋体" w:hint="eastAsia"/>
        </w:rPr>
        <w:t>数据质量管理应遵循的要求：</w:t>
      </w:r>
    </w:p>
    <w:p w:rsidR="00237D27" w:rsidRDefault="00C831E1">
      <w:pPr>
        <w:pStyle w:val="af0"/>
        <w:numPr>
          <w:ilvl w:val="0"/>
          <w:numId w:val="40"/>
        </w:numPr>
        <w:jc w:val="left"/>
      </w:pPr>
      <w:r>
        <w:rPr>
          <w:rFonts w:hAnsi="宋体" w:cs="宋体" w:hint="eastAsia"/>
        </w:rPr>
        <w:t>源头治理：落实“谁产生、谁负责”，在数据产生源头落实质量责任与保障。</w:t>
      </w:r>
    </w:p>
    <w:p w:rsidR="00237D27" w:rsidRDefault="00C831E1">
      <w:pPr>
        <w:pStyle w:val="af0"/>
        <w:numPr>
          <w:ilvl w:val="0"/>
          <w:numId w:val="40"/>
        </w:numPr>
        <w:jc w:val="left"/>
      </w:pPr>
      <w:r>
        <w:rPr>
          <w:rFonts w:hAnsi="宋体" w:cs="宋体" w:hint="eastAsia"/>
        </w:rPr>
        <w:t>应用反馈闭环：数据使用方应及时将分析应用中发现的质量问题反馈</w:t>
      </w:r>
      <w:proofErr w:type="gramStart"/>
      <w:r>
        <w:rPr>
          <w:rFonts w:hAnsi="宋体" w:cs="宋体" w:hint="eastAsia"/>
        </w:rPr>
        <w:t>至数据</w:t>
      </w:r>
      <w:proofErr w:type="gramEnd"/>
      <w:r>
        <w:rPr>
          <w:rFonts w:hAnsi="宋体" w:cs="宋体" w:hint="eastAsia"/>
        </w:rPr>
        <w:t>产生部门与归口管理部门，以实际应用驱动质量提升。</w:t>
      </w:r>
    </w:p>
    <w:p w:rsidR="00237D27" w:rsidRDefault="00C831E1">
      <w:pPr>
        <w:pStyle w:val="af0"/>
        <w:numPr>
          <w:ilvl w:val="0"/>
          <w:numId w:val="40"/>
        </w:numPr>
        <w:jc w:val="left"/>
      </w:pPr>
      <w:r>
        <w:rPr>
          <w:rFonts w:hAnsi="宋体" w:cs="宋体" w:hint="eastAsia"/>
        </w:rPr>
        <w:t>归口统筹改进：数据归口管理部门统筹各方反馈与业务需求，牵头制定数据质量工作计划，联合数据产生、使用部门开展质量检查与分析，推动数据质量持续改进提升。</w:t>
      </w:r>
    </w:p>
    <w:p w:rsidR="00237D27" w:rsidRDefault="00C831E1">
      <w:pPr>
        <w:pStyle w:val="af0"/>
        <w:numPr>
          <w:ilvl w:val="255"/>
          <w:numId w:val="0"/>
        </w:numPr>
        <w:ind w:firstLineChars="200" w:firstLine="420"/>
        <w:jc w:val="left"/>
        <w:rPr>
          <w:rFonts w:hAnsi="宋体" w:cs="宋体"/>
        </w:rPr>
      </w:pPr>
      <w:r>
        <w:rPr>
          <w:rFonts w:hAnsi="宋体" w:cs="宋体" w:hint="eastAsia"/>
        </w:rPr>
        <w:t>数据质量管理</w:t>
      </w:r>
      <w:r>
        <w:rPr>
          <w:rFonts w:hint="eastAsia"/>
        </w:rPr>
        <w:t>宜采用的</w:t>
      </w:r>
      <w:r>
        <w:rPr>
          <w:rFonts w:hAnsi="宋体" w:cs="宋体" w:hint="eastAsia"/>
        </w:rPr>
        <w:t>实施方法：</w:t>
      </w:r>
    </w:p>
    <w:p w:rsidR="00237D27" w:rsidRDefault="00C831E1">
      <w:pPr>
        <w:pStyle w:val="af0"/>
        <w:numPr>
          <w:ilvl w:val="0"/>
          <w:numId w:val="41"/>
        </w:numPr>
        <w:ind w:left="640"/>
        <w:jc w:val="left"/>
      </w:pPr>
      <w:r>
        <w:rPr>
          <w:rFonts w:hAnsi="宋体" w:cs="宋体" w:hint="eastAsia"/>
        </w:rPr>
        <w:t>建立包含准确性、完整性、一致性、及时性、唯一性、有效性的数据质量评价指标体系。</w:t>
      </w:r>
    </w:p>
    <w:p w:rsidR="00237D27" w:rsidRDefault="00C831E1">
      <w:pPr>
        <w:pStyle w:val="af0"/>
        <w:numPr>
          <w:ilvl w:val="0"/>
          <w:numId w:val="41"/>
        </w:numPr>
        <w:ind w:left="640"/>
        <w:jc w:val="left"/>
      </w:pPr>
      <w:r>
        <w:rPr>
          <w:rFonts w:hAnsi="宋体" w:cs="宋体" w:hint="eastAsia"/>
        </w:rPr>
        <w:t>实施“在线监控→问题识别→工单派发→整改闭环→效果复核”的数据质量管控机制。</w:t>
      </w:r>
    </w:p>
    <w:p w:rsidR="00237D27" w:rsidRDefault="00C831E1">
      <w:pPr>
        <w:pStyle w:val="af0"/>
        <w:numPr>
          <w:ilvl w:val="0"/>
          <w:numId w:val="41"/>
        </w:numPr>
        <w:ind w:left="640"/>
        <w:jc w:val="left"/>
        <w:rPr>
          <w:rFonts w:ascii="Arial" w:hAnsi="宋体"/>
          <w:szCs w:val="21"/>
          <w:shd w:val="clear" w:color="auto" w:fill="FFFFFF"/>
        </w:rPr>
      </w:pPr>
      <w:r>
        <w:rPr>
          <w:rFonts w:hAnsi="宋体" w:cs="宋体" w:hint="eastAsia"/>
        </w:rPr>
        <w:t>在数据产生、采集、传输、集成、应用、归档的全生命周期各环节开展质量管控。</w:t>
      </w:r>
    </w:p>
    <w:p w:rsidR="00237D27" w:rsidRDefault="00C831E1">
      <w:pPr>
        <w:pStyle w:val="a4"/>
        <w:numPr>
          <w:ilvl w:val="0"/>
          <w:numId w:val="0"/>
        </w:numPr>
      </w:pPr>
      <w:bookmarkStart w:id="165" w:name="_Toc7459"/>
      <w:r>
        <w:rPr>
          <w:rFonts w:hint="eastAsia"/>
        </w:rPr>
        <w:lastRenderedPageBreak/>
        <w:t>A.4 数据安全</w:t>
      </w:r>
      <w:bookmarkEnd w:id="165"/>
    </w:p>
    <w:p w:rsidR="00237D27" w:rsidRDefault="00C831E1">
      <w:pPr>
        <w:ind w:firstLineChars="200" w:firstLine="420"/>
        <w:rPr>
          <w:rFonts w:ascii="宋体"/>
          <w:szCs w:val="20"/>
        </w:rPr>
      </w:pPr>
      <w:r>
        <w:rPr>
          <w:rFonts w:ascii="宋体"/>
          <w:szCs w:val="20"/>
        </w:rPr>
        <w:t>数据安全管理以国家数据安全法律法规为指导，通过数据分类分级授权与控制，保障数据全生命周期安全。核心工作涵盖数据安全策略制定、分类分级、风险评估及安全审计等。</w:t>
      </w:r>
    </w:p>
    <w:p w:rsidR="00237D27" w:rsidRDefault="00C831E1">
      <w:pPr>
        <w:pStyle w:val="afff2"/>
      </w:pPr>
      <w:r>
        <w:t>数据安全管理</w:t>
      </w:r>
      <w:r>
        <w:rPr>
          <w:rFonts w:hint="eastAsia"/>
        </w:rPr>
        <w:t>应</w:t>
      </w:r>
      <w:r>
        <w:t>满足以下要求：</w:t>
      </w:r>
    </w:p>
    <w:p w:rsidR="00237D27" w:rsidRDefault="00C831E1">
      <w:pPr>
        <w:pStyle w:val="af0"/>
        <w:numPr>
          <w:ilvl w:val="0"/>
          <w:numId w:val="42"/>
        </w:numPr>
        <w:jc w:val="left"/>
      </w:pPr>
      <w:r>
        <w:t>合</w:t>
      </w:r>
      <w:proofErr w:type="gramStart"/>
      <w:r>
        <w:t>规</w:t>
      </w:r>
      <w:proofErr w:type="gramEnd"/>
      <w:r>
        <w:t>锚定：依据《中华人民共和国数据安全法》《中华人民共和国个人信息保护法》，结合公司业务实际</w:t>
      </w:r>
      <w:r>
        <w:rPr>
          <w:rFonts w:hint="eastAsia"/>
        </w:rPr>
        <w:t>及相关管理办法</w:t>
      </w:r>
      <w:r>
        <w:t>，制定适配的数据安全策略与制度。</w:t>
      </w:r>
    </w:p>
    <w:p w:rsidR="00237D27" w:rsidRDefault="00C831E1">
      <w:pPr>
        <w:pStyle w:val="af0"/>
        <w:numPr>
          <w:ilvl w:val="0"/>
          <w:numId w:val="42"/>
        </w:numPr>
        <w:jc w:val="left"/>
      </w:pPr>
      <w:r>
        <w:t>分类分级防护：基于安全策略目标，按程序开展业务领域数据分类定级工作，并严格落实分级保护标准，实施差异</w:t>
      </w:r>
      <w:proofErr w:type="gramStart"/>
      <w:r>
        <w:t>化安全</w:t>
      </w:r>
      <w:proofErr w:type="gramEnd"/>
      <w:r>
        <w:t>保护。</w:t>
      </w:r>
    </w:p>
    <w:p w:rsidR="00237D27" w:rsidRDefault="00C831E1">
      <w:pPr>
        <w:pStyle w:val="af0"/>
        <w:numPr>
          <w:ilvl w:val="0"/>
          <w:numId w:val="42"/>
        </w:numPr>
        <w:jc w:val="left"/>
      </w:pPr>
      <w:r>
        <w:t>风险闭环治理：结合内外部需要，定期组织数据安全风险评估与审计，识别潜在风险并督促相关部门制定整改计划，确保问题闭环整改。</w:t>
      </w:r>
    </w:p>
    <w:p w:rsidR="00237D27" w:rsidRDefault="00C831E1">
      <w:pPr>
        <w:pStyle w:val="af0"/>
        <w:numPr>
          <w:ilvl w:val="0"/>
          <w:numId w:val="42"/>
        </w:numPr>
        <w:tabs>
          <w:tab w:val="clear" w:pos="840"/>
        </w:tabs>
        <w:jc w:val="left"/>
      </w:pPr>
      <w:r>
        <w:t>活动合</w:t>
      </w:r>
      <w:proofErr w:type="gramStart"/>
      <w:r>
        <w:t>规</w:t>
      </w:r>
      <w:proofErr w:type="gramEnd"/>
      <w:r>
        <w:t>保障：开展个人信息处理、数据出境等相关数据活动时，严格遵守《中华人民共和国个人信息保护法》《数据出境安全评估办法》等法规，确保全流程合法合</w:t>
      </w:r>
      <w:proofErr w:type="gramStart"/>
      <w:r>
        <w:t>规</w:t>
      </w:r>
      <w:proofErr w:type="gramEnd"/>
      <w:r>
        <w:t>。</w:t>
      </w:r>
    </w:p>
    <w:p w:rsidR="00237D27" w:rsidRDefault="00C831E1">
      <w:pPr>
        <w:pStyle w:val="af0"/>
        <w:numPr>
          <w:ilvl w:val="0"/>
          <w:numId w:val="0"/>
        </w:numPr>
        <w:ind w:left="420"/>
        <w:jc w:val="left"/>
      </w:pPr>
      <w:r>
        <w:rPr>
          <w:rFonts w:hint="eastAsia"/>
        </w:rPr>
        <w:t>数据安全管理宜采用的实施</w:t>
      </w:r>
      <w:r>
        <w:t>方法：</w:t>
      </w:r>
    </w:p>
    <w:p w:rsidR="00237D27" w:rsidRDefault="00C831E1">
      <w:pPr>
        <w:pStyle w:val="af0"/>
        <w:numPr>
          <w:ilvl w:val="0"/>
          <w:numId w:val="43"/>
        </w:numPr>
        <w:jc w:val="left"/>
      </w:pPr>
      <w:r>
        <w:t>落实分级分类：遵循国家法律法规与核安全监管要求，开展核电工程数据分类分级，严格执行差异</w:t>
      </w:r>
      <w:proofErr w:type="gramStart"/>
      <w:r>
        <w:t>化安全</w:t>
      </w:r>
      <w:proofErr w:type="gramEnd"/>
      <w:r>
        <w:t>保护措施。</w:t>
      </w:r>
    </w:p>
    <w:p w:rsidR="00237D27" w:rsidRDefault="00C831E1">
      <w:pPr>
        <w:pStyle w:val="af0"/>
        <w:numPr>
          <w:ilvl w:val="0"/>
          <w:numId w:val="43"/>
        </w:numPr>
        <w:jc w:val="left"/>
      </w:pPr>
      <w:r>
        <w:t>构建身份安全体系：建立身份认证、权限管理、操作审计、脱敏加密、访问控制、异常监测等全链路安全机制。</w:t>
      </w:r>
    </w:p>
    <w:p w:rsidR="00237D27" w:rsidRDefault="00C831E1">
      <w:pPr>
        <w:pStyle w:val="af0"/>
        <w:numPr>
          <w:ilvl w:val="0"/>
          <w:numId w:val="43"/>
        </w:numPr>
        <w:jc w:val="left"/>
      </w:pPr>
      <w:r>
        <w:t>重点资产严防：对涉及核安全、关键信息基础设施、敏感信息的数据实施重点保护，严禁越权访问与数据外泄。</w:t>
      </w:r>
    </w:p>
    <w:p w:rsidR="00237D27" w:rsidRDefault="00237D27">
      <w:pPr>
        <w:pStyle w:val="afffffff"/>
        <w:framePr w:wrap="around"/>
        <w:tabs>
          <w:tab w:val="left" w:pos="626"/>
        </w:tabs>
        <w:rPr>
          <w:rFonts w:ascii="Arial" w:hAnsi="宋体"/>
          <w:szCs w:val="21"/>
          <w:shd w:val="clear" w:color="auto" w:fill="FFFFFF"/>
        </w:rPr>
      </w:pPr>
    </w:p>
    <w:p w:rsidR="00237D27" w:rsidRDefault="00C831E1">
      <w:pPr>
        <w:pStyle w:val="a4"/>
        <w:numPr>
          <w:ilvl w:val="0"/>
          <w:numId w:val="0"/>
        </w:numPr>
      </w:pPr>
      <w:bookmarkStart w:id="166" w:name="_Toc14213"/>
      <w:r>
        <w:rPr>
          <w:rFonts w:hint="eastAsia"/>
        </w:rPr>
        <w:t>A.5 元数据管理</w:t>
      </w:r>
      <w:bookmarkEnd w:id="166"/>
    </w:p>
    <w:p w:rsidR="00237D27" w:rsidRDefault="00C831E1">
      <w:pPr>
        <w:pStyle w:val="af0"/>
        <w:numPr>
          <w:ilvl w:val="0"/>
          <w:numId w:val="0"/>
        </w:numPr>
        <w:ind w:firstLineChars="200" w:firstLine="420"/>
        <w:jc w:val="left"/>
        <w:rPr>
          <w:rFonts w:ascii="Arial" w:hAnsi="宋体"/>
          <w:szCs w:val="21"/>
          <w:shd w:val="clear" w:color="auto" w:fill="FFFFFF"/>
        </w:rPr>
      </w:pPr>
      <w:r>
        <w:rPr>
          <w:rFonts w:ascii="Arial" w:hAnsi="宋体" w:hint="eastAsia"/>
          <w:szCs w:val="21"/>
          <w:shd w:val="clear" w:color="auto" w:fill="FFFFFF"/>
        </w:rPr>
        <w:t>元数据管理是梳理数据脉络、保障数据可理解性的核心基础，覆盖元数据的采集、存储、维护、查询与全流程应用，为数据治理各环节提供支撑。</w:t>
      </w:r>
    </w:p>
    <w:p w:rsidR="00237D27" w:rsidRDefault="00C831E1">
      <w:pPr>
        <w:pStyle w:val="af0"/>
        <w:numPr>
          <w:ilvl w:val="0"/>
          <w:numId w:val="0"/>
        </w:numPr>
        <w:ind w:left="420"/>
        <w:jc w:val="left"/>
        <w:rPr>
          <w:rFonts w:ascii="Arial" w:hAnsi="宋体"/>
          <w:szCs w:val="21"/>
          <w:shd w:val="clear" w:color="auto" w:fill="FFFFFF"/>
        </w:rPr>
      </w:pPr>
      <w:r>
        <w:rPr>
          <w:rFonts w:ascii="Arial" w:hAnsi="宋体" w:hint="eastAsia"/>
          <w:szCs w:val="21"/>
          <w:shd w:val="clear" w:color="auto" w:fill="FFFFFF"/>
        </w:rPr>
        <w:t>元数据管理应满足以下要求：</w:t>
      </w:r>
    </w:p>
    <w:p w:rsidR="00237D27" w:rsidRDefault="00C831E1">
      <w:pPr>
        <w:pStyle w:val="af0"/>
        <w:numPr>
          <w:ilvl w:val="0"/>
          <w:numId w:val="44"/>
        </w:numPr>
        <w:jc w:val="left"/>
        <w:rPr>
          <w:rFonts w:ascii="Arial" w:hAnsi="宋体"/>
          <w:szCs w:val="21"/>
          <w:shd w:val="clear" w:color="auto" w:fill="FFFFFF"/>
        </w:rPr>
      </w:pPr>
      <w:r>
        <w:rPr>
          <w:rFonts w:hint="eastAsia"/>
        </w:rPr>
        <w:t>规范采集与更新：明确业务、技术、管理等各类元数据的采集范围，采用“自动化采集为主、人工补充为辅”的方式，保障元数据的及时性、完整性；由责任部门定期维护，根据数据及业务变化动态更新，确保元数据与实际数据同步一致。</w:t>
      </w:r>
    </w:p>
    <w:p w:rsidR="00237D27" w:rsidRDefault="00C831E1">
      <w:pPr>
        <w:pStyle w:val="af0"/>
        <w:numPr>
          <w:ilvl w:val="0"/>
          <w:numId w:val="44"/>
        </w:numPr>
        <w:jc w:val="left"/>
        <w:rPr>
          <w:rFonts w:ascii="Arial" w:hAnsi="宋体"/>
          <w:szCs w:val="21"/>
          <w:shd w:val="clear" w:color="auto" w:fill="FFFFFF"/>
        </w:rPr>
      </w:pPr>
      <w:r>
        <w:rPr>
          <w:rFonts w:hint="eastAsia"/>
        </w:rPr>
        <w:t>统一存储与管控：建立统一元数据存储库，对元数据进行分类管理，保障元数据的准确性与版本一致性，支持历史变更可追溯。</w:t>
      </w:r>
    </w:p>
    <w:p w:rsidR="00237D27" w:rsidRDefault="00C831E1">
      <w:pPr>
        <w:pStyle w:val="af0"/>
        <w:numPr>
          <w:ilvl w:val="0"/>
          <w:numId w:val="44"/>
        </w:numPr>
        <w:jc w:val="left"/>
      </w:pPr>
      <w:r>
        <w:rPr>
          <w:rFonts w:hint="eastAsia"/>
        </w:rPr>
        <w:t>赋能数据理解与应用：提供元数据可视化查询、数据血缘分析功能，助力业务与技术人员快速理解数据定义、来源及关联关系，提升数据可用性。</w:t>
      </w:r>
    </w:p>
    <w:p w:rsidR="00237D27" w:rsidRDefault="00C831E1">
      <w:pPr>
        <w:pStyle w:val="af0"/>
        <w:numPr>
          <w:ilvl w:val="0"/>
          <w:numId w:val="0"/>
        </w:numPr>
        <w:ind w:left="420"/>
        <w:jc w:val="left"/>
      </w:pPr>
      <w:r>
        <w:rPr>
          <w:rFonts w:ascii="Arial" w:hAnsi="宋体" w:hint="eastAsia"/>
          <w:szCs w:val="21"/>
          <w:shd w:val="clear" w:color="auto" w:fill="FFFFFF"/>
        </w:rPr>
        <w:t>元数据管理宜采用的实施方法：</w:t>
      </w:r>
    </w:p>
    <w:p w:rsidR="00237D27" w:rsidRDefault="00C831E1">
      <w:pPr>
        <w:pStyle w:val="af0"/>
        <w:numPr>
          <w:ilvl w:val="0"/>
          <w:numId w:val="45"/>
        </w:numPr>
        <w:jc w:val="left"/>
      </w:pPr>
      <w:r>
        <w:rPr>
          <w:rFonts w:hint="eastAsia"/>
        </w:rPr>
        <w:t>建立统一元数据管理规范，覆盖业务、技术、操作、管理</w:t>
      </w:r>
      <w:proofErr w:type="gramStart"/>
      <w:r>
        <w:rPr>
          <w:rFonts w:hint="eastAsia"/>
        </w:rPr>
        <w:t>全类型</w:t>
      </w:r>
      <w:proofErr w:type="gramEnd"/>
      <w:r>
        <w:rPr>
          <w:rFonts w:hint="eastAsia"/>
        </w:rPr>
        <w:t>元数据。</w:t>
      </w:r>
    </w:p>
    <w:p w:rsidR="00237D27" w:rsidRDefault="00C831E1">
      <w:pPr>
        <w:pStyle w:val="af0"/>
        <w:numPr>
          <w:ilvl w:val="0"/>
          <w:numId w:val="45"/>
        </w:numPr>
        <w:jc w:val="left"/>
      </w:pPr>
      <w:r>
        <w:rPr>
          <w:rFonts w:hint="eastAsia"/>
        </w:rPr>
        <w:t>实现数据来源、结构、关系、流向、责任人及全生命周期的可追溯管理。</w:t>
      </w:r>
    </w:p>
    <w:p w:rsidR="00237D27" w:rsidRDefault="00C831E1">
      <w:pPr>
        <w:pStyle w:val="af0"/>
        <w:numPr>
          <w:ilvl w:val="0"/>
          <w:numId w:val="45"/>
        </w:numPr>
        <w:jc w:val="left"/>
      </w:pPr>
      <w:r>
        <w:rPr>
          <w:rFonts w:hint="eastAsia"/>
        </w:rPr>
        <w:t>支撑数据地图、血缘分析、影响分析、变更管控等数据治理核心能力。</w:t>
      </w:r>
    </w:p>
    <w:p w:rsidR="00237D27" w:rsidRDefault="00C831E1">
      <w:pPr>
        <w:pStyle w:val="a4"/>
        <w:numPr>
          <w:ilvl w:val="0"/>
          <w:numId w:val="0"/>
        </w:numPr>
      </w:pPr>
      <w:bookmarkStart w:id="167" w:name="_Toc2203"/>
      <w:r>
        <w:rPr>
          <w:rFonts w:hint="eastAsia"/>
        </w:rPr>
        <w:t>A.6 数据全生命期</w:t>
      </w:r>
      <w:bookmarkEnd w:id="167"/>
    </w:p>
    <w:p w:rsidR="00237D27" w:rsidRDefault="00C831E1">
      <w:pPr>
        <w:pStyle w:val="afffffff"/>
        <w:framePr w:hSpace="0" w:vSpace="0" w:wrap="auto" w:vAnchor="margin" w:hAnchor="text" w:xAlign="left" w:yAlign="inline"/>
        <w:tabs>
          <w:tab w:val="left" w:pos="626"/>
        </w:tabs>
        <w:ind w:firstLineChars="200" w:firstLine="420"/>
      </w:pPr>
      <w:r>
        <w:t>数据全生命周期管理贯穿数据从产生到归档</w:t>
      </w:r>
      <w:r>
        <w:t>/</w:t>
      </w:r>
      <w:r>
        <w:t>销毁的全过程，覆盖数据采集、存储、处理、应用、归档、销毁等环节，实现数据全流程可控、可管。</w:t>
      </w:r>
    </w:p>
    <w:p w:rsidR="00237D27" w:rsidRDefault="00C831E1">
      <w:pPr>
        <w:pStyle w:val="af0"/>
        <w:numPr>
          <w:ilvl w:val="0"/>
          <w:numId w:val="0"/>
        </w:numPr>
        <w:ind w:left="420"/>
        <w:jc w:val="left"/>
      </w:pPr>
      <w:r>
        <w:t>数据全生命周期管理</w:t>
      </w:r>
      <w:r>
        <w:rPr>
          <w:rFonts w:hint="eastAsia"/>
        </w:rPr>
        <w:t>应</w:t>
      </w:r>
      <w:r>
        <w:t>满足以下要求：</w:t>
      </w:r>
    </w:p>
    <w:p w:rsidR="00237D27" w:rsidRDefault="00C831E1">
      <w:pPr>
        <w:pStyle w:val="af0"/>
        <w:numPr>
          <w:ilvl w:val="0"/>
          <w:numId w:val="46"/>
        </w:numPr>
        <w:jc w:val="left"/>
      </w:pPr>
      <w:r>
        <w:lastRenderedPageBreak/>
        <w:t>制度与策略先行：制定覆盖数据创建、存储、使用、归档、销毁各阶段的管理策略与制度，为全流程管</w:t>
      </w:r>
      <w:proofErr w:type="gramStart"/>
      <w:r>
        <w:t>控提供</w:t>
      </w:r>
      <w:proofErr w:type="gramEnd"/>
      <w:r>
        <w:t>依据。</w:t>
      </w:r>
    </w:p>
    <w:p w:rsidR="00237D27" w:rsidRDefault="00C831E1">
      <w:pPr>
        <w:pStyle w:val="af0"/>
        <w:numPr>
          <w:ilvl w:val="0"/>
          <w:numId w:val="46"/>
        </w:numPr>
        <w:jc w:val="left"/>
      </w:pPr>
      <w:r>
        <w:t>责任主体清晰：明确各环节责任边界，数据产生部门对源头数据质量负责，数据归口管理部门统筹全流程管控，各使用部门配合落实环节要求。</w:t>
      </w:r>
    </w:p>
    <w:p w:rsidR="00237D27" w:rsidRDefault="00C831E1">
      <w:pPr>
        <w:pStyle w:val="af0"/>
        <w:numPr>
          <w:ilvl w:val="0"/>
          <w:numId w:val="46"/>
        </w:numPr>
        <w:jc w:val="left"/>
      </w:pPr>
      <w:r>
        <w:t>差异化管控策略：针对不同价值的数据制定分级管理规则，对高价值核心数据强化质量与安全管控，对低价值、冗余数据及时清理，避免资源浪费。</w:t>
      </w:r>
    </w:p>
    <w:p w:rsidR="00237D27" w:rsidRDefault="00C831E1">
      <w:pPr>
        <w:pStyle w:val="af0"/>
        <w:numPr>
          <w:ilvl w:val="0"/>
          <w:numId w:val="46"/>
        </w:numPr>
        <w:jc w:val="left"/>
      </w:pPr>
      <w:r>
        <w:t>全流程监控闭环：建立全生命周期监控机制，跟踪数据流转状态，及时发现并处置数据延迟、质量异常等问题，保障数据流转高效、安全。</w:t>
      </w:r>
    </w:p>
    <w:p w:rsidR="00237D27" w:rsidRDefault="00C831E1">
      <w:pPr>
        <w:pStyle w:val="af0"/>
        <w:numPr>
          <w:ilvl w:val="0"/>
          <w:numId w:val="0"/>
        </w:numPr>
        <w:ind w:left="420"/>
        <w:jc w:val="left"/>
      </w:pPr>
      <w:r>
        <w:t>数据全生命周期管理</w:t>
      </w:r>
      <w:r>
        <w:rPr>
          <w:rFonts w:hint="eastAsia"/>
        </w:rPr>
        <w:t>宜采用的实施</w:t>
      </w:r>
      <w:r>
        <w:t>方法：</w:t>
      </w:r>
    </w:p>
    <w:p w:rsidR="00237D27" w:rsidRDefault="00C831E1">
      <w:pPr>
        <w:pStyle w:val="af0"/>
        <w:numPr>
          <w:ilvl w:val="0"/>
          <w:numId w:val="47"/>
        </w:numPr>
        <w:jc w:val="left"/>
      </w:pPr>
      <w:r>
        <w:t>按照</w:t>
      </w:r>
      <w:r>
        <w:t>“</w:t>
      </w:r>
      <w:r>
        <w:t>产生</w:t>
      </w:r>
      <w:r>
        <w:t>—</w:t>
      </w:r>
      <w:r>
        <w:t>采集</w:t>
      </w:r>
      <w:r>
        <w:t>—</w:t>
      </w:r>
      <w:r>
        <w:t>集成</w:t>
      </w:r>
      <w:r>
        <w:t>—</w:t>
      </w:r>
      <w:r>
        <w:t>应用</w:t>
      </w:r>
      <w:r>
        <w:t>—</w:t>
      </w:r>
      <w:r>
        <w:t>共享</w:t>
      </w:r>
      <w:r>
        <w:t>—</w:t>
      </w:r>
      <w:r>
        <w:t>归档</w:t>
      </w:r>
      <w:r>
        <w:t>—</w:t>
      </w:r>
      <w:r>
        <w:t>销毁</w:t>
      </w:r>
      <w:r>
        <w:t>”</w:t>
      </w:r>
      <w:r>
        <w:t>的路径，实施数据全过程管理</w:t>
      </w:r>
      <w:r>
        <w:rPr>
          <w:rFonts w:hint="eastAsia"/>
        </w:rPr>
        <w:t>。</w:t>
      </w:r>
    </w:p>
    <w:p w:rsidR="00237D27" w:rsidRDefault="00C831E1">
      <w:pPr>
        <w:pStyle w:val="af0"/>
        <w:numPr>
          <w:ilvl w:val="0"/>
          <w:numId w:val="47"/>
        </w:numPr>
        <w:jc w:val="left"/>
      </w:pPr>
      <w:r>
        <w:t>明确各阶段责任主体、管理要求、留存期限与处置规则，满足工程档案与监管合</w:t>
      </w:r>
      <w:proofErr w:type="gramStart"/>
      <w:r>
        <w:t>规</w:t>
      </w:r>
      <w:proofErr w:type="gramEnd"/>
      <w:r>
        <w:t>要求</w:t>
      </w:r>
      <w:r>
        <w:rPr>
          <w:rFonts w:hint="eastAsia"/>
        </w:rPr>
        <w:t>。</w:t>
      </w:r>
    </w:p>
    <w:p w:rsidR="00237D27" w:rsidRDefault="00C831E1">
      <w:pPr>
        <w:pStyle w:val="af0"/>
        <w:numPr>
          <w:ilvl w:val="0"/>
          <w:numId w:val="47"/>
        </w:numPr>
        <w:jc w:val="left"/>
      </w:pPr>
      <w:r>
        <w:t>对临时数据、测试数据、冗余数据、过期数据实施定期清理，降低存储成本与安全风险。</w:t>
      </w:r>
    </w:p>
    <w:p w:rsidR="00237D27" w:rsidRDefault="00237D27">
      <w:pPr>
        <w:pStyle w:val="af0"/>
        <w:numPr>
          <w:ilvl w:val="0"/>
          <w:numId w:val="0"/>
        </w:numPr>
        <w:jc w:val="left"/>
      </w:pPr>
    </w:p>
    <w:p w:rsidR="00237D27" w:rsidRPr="00BF2D05" w:rsidRDefault="00C831E1">
      <w:pPr>
        <w:pStyle w:val="affffff3"/>
        <w:rPr>
          <w:sz w:val="21"/>
          <w:szCs w:val="21"/>
        </w:rPr>
      </w:pPr>
      <w:r>
        <w:rPr>
          <w:rFonts w:hint="eastAsia"/>
          <w:sz w:val="21"/>
          <w:szCs w:val="21"/>
        </w:rPr>
        <w:lastRenderedPageBreak/>
        <w:t>附录B</w:t>
      </w:r>
    </w:p>
    <w:p w:rsidR="00237D27" w:rsidRPr="00BF2D05" w:rsidRDefault="00C831E1">
      <w:pPr>
        <w:jc w:val="center"/>
        <w:rPr>
          <w:rFonts w:ascii="黑体" w:eastAsia="黑体" w:hAnsi="黑体" w:cs="黑体"/>
          <w:szCs w:val="21"/>
        </w:rPr>
      </w:pPr>
      <w:r w:rsidRPr="00BF2D05">
        <w:rPr>
          <w:rFonts w:ascii="黑体" w:eastAsia="黑体" w:hAnsi="黑体" w:cs="黑体" w:hint="eastAsia"/>
          <w:szCs w:val="21"/>
        </w:rPr>
        <w:t>（资料性）</w:t>
      </w:r>
      <w:r w:rsidRPr="00BF2D05">
        <w:rPr>
          <w:rFonts w:ascii="黑体" w:eastAsia="黑体" w:hAnsi="黑体" w:cs="黑体"/>
          <w:szCs w:val="21"/>
        </w:rPr>
        <w:t xml:space="preserve"> </w:t>
      </w:r>
    </w:p>
    <w:p w:rsidR="00237D27" w:rsidRPr="00BF2D05" w:rsidRDefault="00C831E1">
      <w:pPr>
        <w:jc w:val="center"/>
        <w:rPr>
          <w:rFonts w:ascii="黑体" w:eastAsia="黑体" w:hAnsi="黑体" w:cs="黑体"/>
          <w:szCs w:val="21"/>
        </w:rPr>
      </w:pPr>
      <w:r w:rsidRPr="00BF2D05">
        <w:rPr>
          <w:rFonts w:ascii="黑体" w:eastAsia="黑体" w:hAnsi="黑体" w:cs="黑体" w:hint="eastAsia"/>
          <w:szCs w:val="21"/>
        </w:rPr>
        <w:t>核电工程建设数据治理实施指南</w:t>
      </w:r>
    </w:p>
    <w:p w:rsidR="00237D27" w:rsidRDefault="00237D27"/>
    <w:p w:rsidR="00237D27" w:rsidRDefault="00C831E1">
      <w:r>
        <w:rPr>
          <w:rFonts w:hint="eastAsia"/>
          <w:sz w:val="18"/>
          <w:szCs w:val="18"/>
        </w:rPr>
        <w:t>B</w:t>
      </w:r>
      <w:r>
        <w:rPr>
          <w:rFonts w:hint="eastAsia"/>
        </w:rPr>
        <w:t xml:space="preserve">.1 </w:t>
      </w:r>
      <w:r>
        <w:rPr>
          <w:rFonts w:hint="eastAsia"/>
        </w:rPr>
        <w:t>实施路径</w:t>
      </w:r>
      <w:r>
        <w:rPr>
          <w:rFonts w:hint="eastAsia"/>
        </w:rPr>
        <w:br/>
      </w:r>
      <w:r>
        <w:rPr>
          <w:rFonts w:hint="eastAsia"/>
        </w:rPr>
        <w:br/>
        <w:t xml:space="preserve">    </w:t>
      </w:r>
      <w:r>
        <w:rPr>
          <w:rFonts w:hint="eastAsia"/>
        </w:rPr>
        <w:t>参照</w:t>
      </w:r>
      <w:r>
        <w:rPr>
          <w:rFonts w:hint="eastAsia"/>
        </w:rPr>
        <w:t>GB/T 44109-2024</w:t>
      </w:r>
      <w:r>
        <w:rPr>
          <w:rFonts w:hint="eastAsia"/>
        </w:rPr>
        <w:t>《信息技术</w:t>
      </w:r>
      <w:r>
        <w:rPr>
          <w:rFonts w:hint="eastAsia"/>
        </w:rPr>
        <w:t xml:space="preserve"> </w:t>
      </w:r>
      <w:r>
        <w:rPr>
          <w:rFonts w:hint="eastAsia"/>
        </w:rPr>
        <w:t>大数据</w:t>
      </w:r>
      <w:r>
        <w:rPr>
          <w:rFonts w:hint="eastAsia"/>
        </w:rPr>
        <w:t xml:space="preserve"> </w:t>
      </w:r>
      <w:r>
        <w:rPr>
          <w:rFonts w:hint="eastAsia"/>
        </w:rPr>
        <w:t>数据治理实施指南》中“规划→执行→评价→改进”的数据治理实施过程，结合核电工程建设特点，制定如下实施路径：</w:t>
      </w:r>
    </w:p>
    <w:p w:rsidR="00237D27" w:rsidRDefault="00C831E1">
      <w:pPr>
        <w:ind w:firstLineChars="200" w:firstLine="420"/>
      </w:pPr>
      <w:r>
        <w:rPr>
          <w:rFonts w:hint="eastAsia"/>
        </w:rPr>
        <w:t>建议按“现状评估</w:t>
      </w:r>
      <w:r>
        <w:rPr>
          <w:rFonts w:hint="eastAsia"/>
        </w:rPr>
        <w:t xml:space="preserve"> </w:t>
      </w:r>
      <w:r>
        <w:rPr>
          <w:rFonts w:hint="eastAsia"/>
        </w:rPr>
        <w:t>→</w:t>
      </w:r>
      <w:r>
        <w:rPr>
          <w:rFonts w:hint="eastAsia"/>
        </w:rPr>
        <w:t xml:space="preserve"> </w:t>
      </w:r>
      <w:r>
        <w:rPr>
          <w:rFonts w:hint="eastAsia"/>
        </w:rPr>
        <w:t>规划方案</w:t>
      </w:r>
      <w:r>
        <w:rPr>
          <w:rFonts w:hint="eastAsia"/>
        </w:rPr>
        <w:t xml:space="preserve"> </w:t>
      </w:r>
      <w:r>
        <w:rPr>
          <w:rFonts w:hint="eastAsia"/>
        </w:rPr>
        <w:t>→</w:t>
      </w:r>
      <w:r>
        <w:rPr>
          <w:rFonts w:hint="eastAsia"/>
        </w:rPr>
        <w:t xml:space="preserve"> </w:t>
      </w:r>
      <w:r>
        <w:rPr>
          <w:rFonts w:hint="eastAsia"/>
        </w:rPr>
        <w:t>组织搭建</w:t>
      </w:r>
      <w:r>
        <w:rPr>
          <w:rFonts w:hint="eastAsia"/>
        </w:rPr>
        <w:t xml:space="preserve"> </w:t>
      </w:r>
      <w:r>
        <w:rPr>
          <w:rFonts w:hint="eastAsia"/>
        </w:rPr>
        <w:t>→</w:t>
      </w:r>
      <w:r>
        <w:rPr>
          <w:rFonts w:hint="eastAsia"/>
        </w:rPr>
        <w:t xml:space="preserve"> </w:t>
      </w:r>
      <w:r>
        <w:rPr>
          <w:rFonts w:hint="eastAsia"/>
        </w:rPr>
        <w:t>资产盘点</w:t>
      </w:r>
      <w:r>
        <w:rPr>
          <w:rFonts w:hint="eastAsia"/>
        </w:rPr>
        <w:t xml:space="preserve"> </w:t>
      </w:r>
      <w:r>
        <w:rPr>
          <w:rFonts w:hint="eastAsia"/>
        </w:rPr>
        <w:t>→</w:t>
      </w:r>
      <w:r>
        <w:rPr>
          <w:rFonts w:hint="eastAsia"/>
        </w:rPr>
        <w:t xml:space="preserve"> </w:t>
      </w:r>
      <w:r>
        <w:rPr>
          <w:rFonts w:hint="eastAsia"/>
        </w:rPr>
        <w:t>标准制定</w:t>
      </w:r>
      <w:r>
        <w:rPr>
          <w:rFonts w:hint="eastAsia"/>
        </w:rPr>
        <w:t xml:space="preserve"> </w:t>
      </w:r>
      <w:r>
        <w:rPr>
          <w:rFonts w:hint="eastAsia"/>
        </w:rPr>
        <w:t>→</w:t>
      </w:r>
      <w:r>
        <w:rPr>
          <w:rFonts w:hint="eastAsia"/>
        </w:rPr>
        <w:t xml:space="preserve"> </w:t>
      </w:r>
      <w:r>
        <w:rPr>
          <w:rFonts w:hint="eastAsia"/>
        </w:rPr>
        <w:t>试点落地</w:t>
      </w:r>
      <w:r>
        <w:rPr>
          <w:rFonts w:hint="eastAsia"/>
        </w:rPr>
        <w:t xml:space="preserve"> </w:t>
      </w:r>
      <w:r>
        <w:rPr>
          <w:rFonts w:hint="eastAsia"/>
        </w:rPr>
        <w:t>→</w:t>
      </w:r>
      <w:r>
        <w:rPr>
          <w:rFonts w:hint="eastAsia"/>
        </w:rPr>
        <w:t xml:space="preserve"> </w:t>
      </w:r>
      <w:r>
        <w:rPr>
          <w:rFonts w:hint="eastAsia"/>
        </w:rPr>
        <w:t>全面推广</w:t>
      </w:r>
      <w:r>
        <w:rPr>
          <w:rFonts w:hint="eastAsia"/>
        </w:rPr>
        <w:t xml:space="preserve"> </w:t>
      </w:r>
      <w:r>
        <w:rPr>
          <w:rFonts w:hint="eastAsia"/>
        </w:rPr>
        <w:t>→</w:t>
      </w:r>
      <w:r>
        <w:rPr>
          <w:rFonts w:hint="eastAsia"/>
        </w:rPr>
        <w:t xml:space="preserve"> </w:t>
      </w:r>
      <w:r>
        <w:rPr>
          <w:rFonts w:hint="eastAsia"/>
        </w:rPr>
        <w:t>监控优化”八步法推进核电工程建设数据治理工作。</w:t>
      </w:r>
      <w:r>
        <w:rPr>
          <w:rFonts w:hint="eastAsia"/>
        </w:rPr>
        <w:br/>
      </w:r>
      <w:r>
        <w:rPr>
          <w:rFonts w:hint="eastAsia"/>
        </w:rPr>
        <w:br/>
        <w:t xml:space="preserve">B.2 </w:t>
      </w:r>
      <w:r>
        <w:rPr>
          <w:rFonts w:hint="eastAsia"/>
        </w:rPr>
        <w:t>各阶段实施重点</w:t>
      </w:r>
      <w:r>
        <w:rPr>
          <w:rFonts w:hint="eastAsia"/>
        </w:rPr>
        <w:br/>
      </w:r>
      <w:r>
        <w:rPr>
          <w:rFonts w:hint="eastAsia"/>
        </w:rPr>
        <w:br/>
        <w:t xml:space="preserve">B.2.1 </w:t>
      </w:r>
      <w:r>
        <w:rPr>
          <w:rFonts w:hint="eastAsia"/>
        </w:rPr>
        <w:t>设计阶段</w:t>
      </w:r>
      <w:r>
        <w:rPr>
          <w:rFonts w:hint="eastAsia"/>
        </w:rPr>
        <w:br/>
      </w:r>
      <w:r>
        <w:rPr>
          <w:rFonts w:hint="eastAsia"/>
        </w:rPr>
        <w:br/>
        <w:t xml:space="preserve">  </w:t>
      </w:r>
      <w:r>
        <w:rPr>
          <w:rFonts w:hint="eastAsia"/>
        </w:rPr>
        <w:t>应建立统一的设计数据标准，开展设计数据资产盘点与</w:t>
      </w:r>
      <w:proofErr w:type="gramStart"/>
      <w:r>
        <w:rPr>
          <w:rFonts w:hint="eastAsia"/>
        </w:rPr>
        <w:t>主数据</w:t>
      </w:r>
      <w:proofErr w:type="gramEnd"/>
      <w:r>
        <w:rPr>
          <w:rFonts w:hint="eastAsia"/>
        </w:rPr>
        <w:t>统一管理；实施设计数据质量审查与版本管控。</w:t>
      </w:r>
      <w:r>
        <w:rPr>
          <w:rFonts w:hint="eastAsia"/>
        </w:rPr>
        <w:br/>
      </w:r>
      <w:r>
        <w:rPr>
          <w:rFonts w:hint="eastAsia"/>
        </w:rPr>
        <w:br/>
        <w:t xml:space="preserve">B.2.2 </w:t>
      </w:r>
      <w:r>
        <w:rPr>
          <w:rFonts w:hint="eastAsia"/>
        </w:rPr>
        <w:t>采购阶段</w:t>
      </w:r>
      <w:r>
        <w:rPr>
          <w:rFonts w:hint="eastAsia"/>
        </w:rPr>
        <w:br/>
      </w:r>
      <w:r>
        <w:rPr>
          <w:rFonts w:hint="eastAsia"/>
        </w:rPr>
        <w:br/>
        <w:t xml:space="preserve">  </w:t>
      </w:r>
      <w:r>
        <w:rPr>
          <w:rFonts w:hint="eastAsia"/>
        </w:rPr>
        <w:t>应统一设备、供应商、合同、物项数据标准，明确数据元定义与格式要求；应规范采购数据采集与监造数据接入流程，确保数据来源的真实性与完整性；应建立设备数据全链条可追溯机制，实现从采购到交付的全程数据追踪；宜引入第三方监造数据校验，提升数据质量管控水平。</w:t>
      </w:r>
      <w:r>
        <w:rPr>
          <w:rFonts w:hint="eastAsia"/>
        </w:rPr>
        <w:br/>
      </w:r>
      <w:r>
        <w:rPr>
          <w:rFonts w:hint="eastAsia"/>
        </w:rPr>
        <w:br/>
        <w:t xml:space="preserve">B.2.3 </w:t>
      </w:r>
      <w:r>
        <w:rPr>
          <w:rFonts w:hint="eastAsia"/>
        </w:rPr>
        <w:t>施工阶段</w:t>
      </w:r>
      <w:r>
        <w:rPr>
          <w:rFonts w:hint="eastAsia"/>
        </w:rPr>
        <w:br/>
      </w:r>
      <w:r>
        <w:rPr>
          <w:rFonts w:hint="eastAsia"/>
        </w:rPr>
        <w:br/>
        <w:t xml:space="preserve">  </w:t>
      </w:r>
      <w:r>
        <w:rPr>
          <w:rFonts w:hint="eastAsia"/>
        </w:rPr>
        <w:t>规范施工记录、检验试验、焊接、混凝土、安装等过程数据采集；实现施工数据与设计、采购数据联动校验；强化现场数据质量与安全管控。</w:t>
      </w:r>
      <w:r>
        <w:rPr>
          <w:rFonts w:hint="eastAsia"/>
        </w:rPr>
        <w:br/>
      </w:r>
      <w:r>
        <w:rPr>
          <w:rFonts w:hint="eastAsia"/>
        </w:rPr>
        <w:br/>
        <w:t xml:space="preserve">B.2.4 </w:t>
      </w:r>
      <w:r>
        <w:rPr>
          <w:rFonts w:hint="eastAsia"/>
        </w:rPr>
        <w:t>调试阶段</w:t>
      </w:r>
      <w:r>
        <w:rPr>
          <w:rFonts w:hint="eastAsia"/>
        </w:rPr>
        <w:br/>
      </w:r>
      <w:r>
        <w:rPr>
          <w:rFonts w:hint="eastAsia"/>
        </w:rPr>
        <w:br/>
        <w:t xml:space="preserve">  </w:t>
      </w:r>
      <w:r>
        <w:rPr>
          <w:rFonts w:hint="eastAsia"/>
        </w:rPr>
        <w:t>统一调试试验、缺陷处理、系统验证数据格式；建立调试数据与设计基准比对机制；保障调试数据完整、真实、可追溯。</w:t>
      </w:r>
      <w:r>
        <w:rPr>
          <w:rFonts w:hint="eastAsia"/>
        </w:rPr>
        <w:br/>
      </w:r>
      <w:r>
        <w:rPr>
          <w:rFonts w:hint="eastAsia"/>
        </w:rPr>
        <w:br/>
        <w:t xml:space="preserve">B.3 </w:t>
      </w:r>
      <w:r>
        <w:rPr>
          <w:rFonts w:hint="eastAsia"/>
        </w:rPr>
        <w:t>落地保障措施</w:t>
      </w:r>
      <w:r>
        <w:rPr>
          <w:rFonts w:hint="eastAsia"/>
        </w:rPr>
        <w:br/>
      </w:r>
      <w:r>
        <w:rPr>
          <w:rFonts w:hint="eastAsia"/>
        </w:rPr>
        <w:br/>
        <w:t xml:space="preserve">a) </w:t>
      </w:r>
      <w:r>
        <w:rPr>
          <w:rFonts w:hint="eastAsia"/>
        </w:rPr>
        <w:t>应成立专项治理工作组，明确业主牵头、多方参与机制。</w:t>
      </w:r>
      <w:r>
        <w:rPr>
          <w:rFonts w:hint="eastAsia"/>
        </w:rPr>
        <w:br/>
        <w:t xml:space="preserve">b) </w:t>
      </w:r>
      <w:r>
        <w:rPr>
          <w:rFonts w:hint="eastAsia"/>
        </w:rPr>
        <w:t>宜选择典型专业</w:t>
      </w:r>
      <w:r>
        <w:rPr>
          <w:rFonts w:hint="eastAsia"/>
        </w:rPr>
        <w:t>/</w:t>
      </w:r>
      <w:r>
        <w:rPr>
          <w:rFonts w:hint="eastAsia"/>
        </w:rPr>
        <w:t>系统先行试点，验证方法后全面推广。</w:t>
      </w:r>
      <w:r>
        <w:rPr>
          <w:rFonts w:hint="eastAsia"/>
        </w:rPr>
        <w:br/>
        <w:t xml:space="preserve">c) </w:t>
      </w:r>
      <w:r>
        <w:rPr>
          <w:rFonts w:hint="eastAsia"/>
        </w:rPr>
        <w:t>应配套数据治理平台、元数据工具、质量监控工具提升自动化水平。</w:t>
      </w:r>
      <w:r>
        <w:rPr>
          <w:rFonts w:hint="eastAsia"/>
        </w:rPr>
        <w:br/>
      </w:r>
      <w:r>
        <w:rPr>
          <w:rFonts w:hint="eastAsia"/>
        </w:rPr>
        <w:lastRenderedPageBreak/>
        <w:t xml:space="preserve">d) </w:t>
      </w:r>
      <w:r>
        <w:rPr>
          <w:rFonts w:hint="eastAsia"/>
        </w:rPr>
        <w:t>应建立月度检查、季度评价、年度考核机制，确保持续落地。</w:t>
      </w:r>
    </w:p>
    <w:p w:rsidR="00237D27" w:rsidRPr="00BF2D05" w:rsidRDefault="00C831E1">
      <w:pPr>
        <w:pStyle w:val="affffff3"/>
        <w:rPr>
          <w:sz w:val="21"/>
          <w:szCs w:val="21"/>
        </w:rPr>
      </w:pPr>
      <w:r>
        <w:rPr>
          <w:rFonts w:hint="eastAsia"/>
          <w:sz w:val="21"/>
          <w:szCs w:val="21"/>
        </w:rPr>
        <w:lastRenderedPageBreak/>
        <w:t>附录C</w:t>
      </w:r>
    </w:p>
    <w:p w:rsidR="00237D27" w:rsidRPr="00BF2D05" w:rsidRDefault="00C831E1">
      <w:pPr>
        <w:jc w:val="center"/>
        <w:rPr>
          <w:rFonts w:ascii="黑体" w:eastAsia="黑体" w:hAnsi="黑体" w:cs="黑体"/>
          <w:szCs w:val="21"/>
        </w:rPr>
      </w:pPr>
      <w:r w:rsidRPr="00BF2D05">
        <w:rPr>
          <w:rFonts w:ascii="黑体" w:eastAsia="黑体" w:hAnsi="黑体" w:cs="黑体" w:hint="eastAsia"/>
          <w:szCs w:val="21"/>
        </w:rPr>
        <w:t>（资料性）</w:t>
      </w:r>
    </w:p>
    <w:p w:rsidR="00237D27" w:rsidRPr="00BF2D05" w:rsidRDefault="00C831E1">
      <w:pPr>
        <w:jc w:val="center"/>
        <w:rPr>
          <w:rFonts w:ascii="黑体" w:eastAsia="黑体" w:hAnsi="黑体" w:cs="黑体"/>
          <w:szCs w:val="21"/>
        </w:rPr>
      </w:pPr>
      <w:r w:rsidRPr="00BF2D05">
        <w:rPr>
          <w:rFonts w:ascii="黑体" w:eastAsia="黑体" w:hAnsi="黑体" w:cs="黑体" w:hint="eastAsia"/>
          <w:szCs w:val="21"/>
        </w:rPr>
        <w:t>数据治理成熟度评估指标</w:t>
      </w:r>
    </w:p>
    <w:p w:rsidR="00237D27" w:rsidRDefault="00237D27"/>
    <w:p w:rsidR="00237D27" w:rsidRDefault="00C831E1">
      <w:pPr>
        <w:pStyle w:val="a4"/>
        <w:numPr>
          <w:ilvl w:val="0"/>
          <w:numId w:val="0"/>
        </w:numPr>
      </w:pPr>
      <w:r>
        <w:rPr>
          <w:rFonts w:hint="eastAsia"/>
        </w:rPr>
        <w:t>C.1 组织与制度成熟度</w:t>
      </w:r>
    </w:p>
    <w:p w:rsidR="00237D27" w:rsidRDefault="00C831E1">
      <w:r>
        <w:rPr>
          <w:rFonts w:hint="eastAsia"/>
        </w:rPr>
        <w:t>组织与制度是数据治理有效落地的保障，评估维度如下：</w:t>
      </w:r>
    </w:p>
    <w:p w:rsidR="00237D27" w:rsidRDefault="00C831E1">
      <w:pPr>
        <w:numPr>
          <w:ilvl w:val="0"/>
          <w:numId w:val="48"/>
        </w:numPr>
      </w:pPr>
      <w:r>
        <w:rPr>
          <w:rFonts w:hint="eastAsia"/>
        </w:rPr>
        <w:t>治理组织健全度：决策层、管理层、执行层架构是否完整，权责链路是否清晰。</w:t>
      </w:r>
    </w:p>
    <w:p w:rsidR="00237D27" w:rsidRDefault="00C831E1">
      <w:pPr>
        <w:numPr>
          <w:ilvl w:val="0"/>
          <w:numId w:val="48"/>
        </w:numPr>
      </w:pPr>
      <w:r>
        <w:rPr>
          <w:rFonts w:hint="eastAsia"/>
        </w:rPr>
        <w:t>制度体系完备度：数据管理办法、实施细则、流程规范的覆盖度与适配性。</w:t>
      </w:r>
    </w:p>
    <w:p w:rsidR="00237D27" w:rsidRDefault="00C831E1">
      <w:pPr>
        <w:numPr>
          <w:ilvl w:val="0"/>
          <w:numId w:val="48"/>
        </w:numPr>
      </w:pPr>
      <w:r>
        <w:rPr>
          <w:rFonts w:hint="eastAsia"/>
        </w:rPr>
        <w:t>职责清晰度：数据</w:t>
      </w:r>
      <w:r>
        <w:rPr>
          <w:rFonts w:hint="eastAsia"/>
        </w:rPr>
        <w:t>Owner</w:t>
      </w:r>
      <w:r>
        <w:rPr>
          <w:rFonts w:hint="eastAsia"/>
        </w:rPr>
        <w:t>、管理者、使用者、监督者的职责定义是否明确、无交叉。</w:t>
      </w:r>
    </w:p>
    <w:p w:rsidR="00237D27" w:rsidRDefault="00C831E1">
      <w:pPr>
        <w:numPr>
          <w:ilvl w:val="0"/>
          <w:numId w:val="48"/>
        </w:numPr>
      </w:pPr>
      <w:r>
        <w:rPr>
          <w:rFonts w:hint="eastAsia"/>
        </w:rPr>
        <w:t>跨组织协同机制：业主、承包商、供应商之间的数据治理协同流程是否有效。</w:t>
      </w:r>
    </w:p>
    <w:p w:rsidR="00237D27" w:rsidRDefault="00C831E1">
      <w:pPr>
        <w:pStyle w:val="a4"/>
        <w:numPr>
          <w:ilvl w:val="0"/>
          <w:numId w:val="0"/>
        </w:numPr>
      </w:pPr>
      <w:r>
        <w:rPr>
          <w:rFonts w:hint="eastAsia"/>
        </w:rPr>
        <w:t>C.2 数据架构成熟度</w:t>
      </w:r>
    </w:p>
    <w:p w:rsidR="00237D27" w:rsidRDefault="00C831E1">
      <w:r>
        <w:rPr>
          <w:rFonts w:hint="eastAsia"/>
        </w:rPr>
        <w:t>数据架构是数据治理的基础框架，评估维度如下：</w:t>
      </w:r>
    </w:p>
    <w:p w:rsidR="00237D27" w:rsidRDefault="00C831E1">
      <w:pPr>
        <w:numPr>
          <w:ilvl w:val="0"/>
          <w:numId w:val="49"/>
        </w:numPr>
      </w:pPr>
      <w:r>
        <w:rPr>
          <w:rFonts w:hint="eastAsia"/>
        </w:rPr>
        <w:t>数据分类分级体系完整性：数据分类分级规则是否覆盖</w:t>
      </w:r>
      <w:proofErr w:type="gramStart"/>
      <w:r>
        <w:rPr>
          <w:rFonts w:hint="eastAsia"/>
        </w:rPr>
        <w:t>全业务域</w:t>
      </w:r>
      <w:proofErr w:type="gramEnd"/>
      <w:r>
        <w:rPr>
          <w:rFonts w:hint="eastAsia"/>
        </w:rPr>
        <w:t>，分级标准是否统一。</w:t>
      </w:r>
    </w:p>
    <w:p w:rsidR="00237D27" w:rsidRDefault="00C831E1">
      <w:pPr>
        <w:numPr>
          <w:ilvl w:val="0"/>
          <w:numId w:val="49"/>
        </w:numPr>
      </w:pPr>
      <w:r>
        <w:rPr>
          <w:rFonts w:hint="eastAsia"/>
        </w:rPr>
        <w:t>数据模型规范性与统一度：业务、技术数据模型是否遵循统一规范，模型复用率情况。</w:t>
      </w:r>
    </w:p>
    <w:p w:rsidR="00237D27" w:rsidRDefault="00C831E1">
      <w:pPr>
        <w:numPr>
          <w:ilvl w:val="0"/>
          <w:numId w:val="49"/>
        </w:numPr>
      </w:pPr>
      <w:r>
        <w:rPr>
          <w:rFonts w:hint="eastAsia"/>
        </w:rPr>
        <w:t>数据分布合理性与孤岛消除程度：数据存储分布是否合理，跨系统数据孤岛问题改善情况。</w:t>
      </w:r>
    </w:p>
    <w:p w:rsidR="00237D27" w:rsidRDefault="00C831E1">
      <w:pPr>
        <w:numPr>
          <w:ilvl w:val="0"/>
          <w:numId w:val="49"/>
        </w:numPr>
      </w:pPr>
      <w:r>
        <w:rPr>
          <w:rFonts w:hint="eastAsia"/>
        </w:rPr>
        <w:t>数据生命周期规划完备性：数据从产生到归档</w:t>
      </w:r>
      <w:r>
        <w:rPr>
          <w:rFonts w:hint="eastAsia"/>
        </w:rPr>
        <w:t>/</w:t>
      </w:r>
      <w:r>
        <w:rPr>
          <w:rFonts w:hint="eastAsia"/>
        </w:rPr>
        <w:t>销毁的全生命周期管理规划是否完善。</w:t>
      </w:r>
    </w:p>
    <w:p w:rsidR="00237D27" w:rsidRDefault="00C831E1">
      <w:pPr>
        <w:pStyle w:val="a4"/>
        <w:numPr>
          <w:ilvl w:val="0"/>
          <w:numId w:val="0"/>
        </w:numPr>
      </w:pPr>
      <w:r>
        <w:rPr>
          <w:rFonts w:hint="eastAsia"/>
        </w:rPr>
        <w:t>C.3 数据标准成熟度</w:t>
      </w:r>
    </w:p>
    <w:p w:rsidR="00237D27" w:rsidRDefault="00C831E1">
      <w:pPr>
        <w:outlineLvl w:val="1"/>
        <w:rPr>
          <w:rFonts w:ascii="黑体" w:eastAsia="黑体"/>
          <w:kern w:val="0"/>
          <w:szCs w:val="20"/>
        </w:rPr>
      </w:pPr>
      <w:r>
        <w:rPr>
          <w:rFonts w:hint="eastAsia"/>
        </w:rPr>
        <w:t>数据标准是保障数据一致性的核心依据，评估维度如下：</w:t>
      </w:r>
      <w:r>
        <w:rPr>
          <w:rFonts w:hint="eastAsia"/>
        </w:rPr>
        <w:br/>
        <w:t xml:space="preserve">a) </w:t>
      </w:r>
      <w:r>
        <w:rPr>
          <w:rFonts w:hint="eastAsia"/>
        </w:rPr>
        <w:t>核心数据标准覆盖率：主数据、业务数据等核心数据的标准制定覆盖比例。</w:t>
      </w:r>
      <w:r>
        <w:rPr>
          <w:rFonts w:hint="eastAsia"/>
        </w:rPr>
        <w:br/>
        <w:t xml:space="preserve">b) </w:t>
      </w:r>
      <w:r>
        <w:rPr>
          <w:rFonts w:hint="eastAsia"/>
        </w:rPr>
        <w:t>标准执行遵从率：数据采集、使用环节对标准的执行合</w:t>
      </w:r>
      <w:proofErr w:type="gramStart"/>
      <w:r>
        <w:rPr>
          <w:rFonts w:hint="eastAsia"/>
        </w:rPr>
        <w:t>规</w:t>
      </w:r>
      <w:proofErr w:type="gramEnd"/>
      <w:r>
        <w:rPr>
          <w:rFonts w:hint="eastAsia"/>
        </w:rPr>
        <w:t>率。</w:t>
      </w:r>
      <w:r>
        <w:rPr>
          <w:rFonts w:hint="eastAsia"/>
        </w:rPr>
        <w:br/>
        <w:t xml:space="preserve">c) </w:t>
      </w:r>
      <w:r>
        <w:rPr>
          <w:rFonts w:hint="eastAsia"/>
        </w:rPr>
        <w:t>标准更新及时性：数据标准是否能根据业务变化及时修订、发布。</w:t>
      </w:r>
      <w:r>
        <w:rPr>
          <w:rFonts w:hint="eastAsia"/>
        </w:rPr>
        <w:br/>
        <w:t xml:space="preserve">d) </w:t>
      </w:r>
      <w:r>
        <w:rPr>
          <w:rFonts w:hint="eastAsia"/>
        </w:rPr>
        <w:t>标准</w:t>
      </w:r>
      <w:proofErr w:type="gramStart"/>
      <w:r>
        <w:rPr>
          <w:rFonts w:hint="eastAsia"/>
        </w:rPr>
        <w:t>宣贯与培训</w:t>
      </w:r>
      <w:proofErr w:type="gramEnd"/>
      <w:r>
        <w:rPr>
          <w:rFonts w:hint="eastAsia"/>
        </w:rPr>
        <w:t>落地情况：面向相关方的标准宣贯、培训机制是否健全，执行效果是否达标。</w:t>
      </w:r>
      <w:r>
        <w:rPr>
          <w:rFonts w:hint="eastAsia"/>
        </w:rPr>
        <w:br/>
      </w:r>
      <w:r>
        <w:rPr>
          <w:rFonts w:hint="eastAsia"/>
        </w:rPr>
        <w:br/>
      </w:r>
      <w:r>
        <w:rPr>
          <w:rFonts w:ascii="黑体" w:eastAsia="黑体" w:hint="eastAsia"/>
          <w:kern w:val="0"/>
          <w:szCs w:val="20"/>
        </w:rPr>
        <w:t>C.4 数据质量成熟度</w:t>
      </w:r>
    </w:p>
    <w:p w:rsidR="00237D27" w:rsidRDefault="00237D27"/>
    <w:p w:rsidR="00237D27" w:rsidRDefault="00C831E1">
      <w:r>
        <w:rPr>
          <w:rFonts w:hint="eastAsia"/>
        </w:rPr>
        <w:t>数据质量是数据应用价值的关键保障，评估维度如下：</w:t>
      </w:r>
      <w:r>
        <w:rPr>
          <w:rFonts w:hint="eastAsia"/>
        </w:rPr>
        <w:br/>
        <w:t xml:space="preserve">a) </w:t>
      </w:r>
      <w:r>
        <w:rPr>
          <w:rFonts w:hint="eastAsia"/>
        </w:rPr>
        <w:t>数据质量指标覆盖率：准确性、完整性、一致性、及时性、有效性、唯一性等指标的覆盖度。</w:t>
      </w:r>
      <w:r>
        <w:rPr>
          <w:rFonts w:hint="eastAsia"/>
        </w:rPr>
        <w:br/>
        <w:t xml:space="preserve">b) </w:t>
      </w:r>
      <w:r>
        <w:rPr>
          <w:rFonts w:hint="eastAsia"/>
        </w:rPr>
        <w:t>数据质量问题闭环率：数据质量问题发现、整改、复核的闭环完成比例。</w:t>
      </w:r>
      <w:r>
        <w:rPr>
          <w:rFonts w:hint="eastAsia"/>
        </w:rPr>
        <w:br/>
        <w:t xml:space="preserve">c) </w:t>
      </w:r>
      <w:r>
        <w:rPr>
          <w:rFonts w:hint="eastAsia"/>
        </w:rPr>
        <w:t>源头治理能力：数据产生环节的质量管控机制是否健全，问题前置防控效果。</w:t>
      </w:r>
      <w:r>
        <w:rPr>
          <w:rFonts w:hint="eastAsia"/>
        </w:rPr>
        <w:br/>
        <w:t xml:space="preserve">d) </w:t>
      </w:r>
      <w:r>
        <w:rPr>
          <w:rFonts w:hint="eastAsia"/>
        </w:rPr>
        <w:t>质量监控自动化水平：数据质量在线监控、自动校验、异常告警的实现程度。</w:t>
      </w:r>
      <w:r>
        <w:rPr>
          <w:rFonts w:hint="eastAsia"/>
        </w:rPr>
        <w:br/>
      </w:r>
      <w:r>
        <w:rPr>
          <w:rFonts w:hint="eastAsia"/>
        </w:rPr>
        <w:br/>
      </w:r>
      <w:r>
        <w:rPr>
          <w:rFonts w:ascii="黑体" w:eastAsia="黑体" w:hint="eastAsia"/>
          <w:kern w:val="0"/>
          <w:szCs w:val="20"/>
        </w:rPr>
        <w:t>C.5 数据安全成熟度</w:t>
      </w:r>
      <w:r>
        <w:rPr>
          <w:rFonts w:ascii="黑体" w:eastAsia="黑体" w:hint="eastAsia"/>
          <w:kern w:val="0"/>
          <w:szCs w:val="20"/>
        </w:rPr>
        <w:br/>
      </w:r>
      <w:r>
        <w:rPr>
          <w:rFonts w:hint="eastAsia"/>
        </w:rPr>
        <w:br/>
      </w:r>
      <w:r>
        <w:rPr>
          <w:rFonts w:hint="eastAsia"/>
        </w:rPr>
        <w:lastRenderedPageBreak/>
        <w:t>数据安全是数据治理合</w:t>
      </w:r>
      <w:proofErr w:type="gramStart"/>
      <w:r>
        <w:rPr>
          <w:rFonts w:hint="eastAsia"/>
        </w:rPr>
        <w:t>规</w:t>
      </w:r>
      <w:proofErr w:type="gramEnd"/>
      <w:r>
        <w:rPr>
          <w:rFonts w:hint="eastAsia"/>
        </w:rPr>
        <w:t>运行的底线，评估维度如下：</w:t>
      </w:r>
      <w:r>
        <w:rPr>
          <w:rFonts w:hint="eastAsia"/>
        </w:rPr>
        <w:br/>
      </w:r>
      <w:r>
        <w:rPr>
          <w:rFonts w:hint="eastAsia"/>
        </w:rPr>
        <w:br/>
        <w:t xml:space="preserve">a) </w:t>
      </w:r>
      <w:r>
        <w:rPr>
          <w:rFonts w:hint="eastAsia"/>
        </w:rPr>
        <w:t>数据分类分级落实情况：数据分类分级结果的落地应用与差异化保护执行情况。</w:t>
      </w:r>
      <w:r>
        <w:rPr>
          <w:rFonts w:hint="eastAsia"/>
        </w:rPr>
        <w:br/>
        <w:t xml:space="preserve">b) </w:t>
      </w:r>
      <w:r>
        <w:rPr>
          <w:rFonts w:hint="eastAsia"/>
        </w:rPr>
        <w:t>权限管控与审计覆盖率：身份认证、访问控制、操作审计的覆盖范围与有效性。</w:t>
      </w:r>
      <w:r>
        <w:rPr>
          <w:rFonts w:hint="eastAsia"/>
        </w:rPr>
        <w:br/>
        <w:t xml:space="preserve">c) </w:t>
      </w:r>
      <w:r>
        <w:rPr>
          <w:rFonts w:hint="eastAsia"/>
        </w:rPr>
        <w:t>安全事件响应与处置能力：数据安全事件的响应流程、处置效率与复盘改进机制。</w:t>
      </w:r>
      <w:r>
        <w:rPr>
          <w:rFonts w:hint="eastAsia"/>
        </w:rPr>
        <w:br/>
        <w:t xml:space="preserve">d) </w:t>
      </w:r>
      <w:r>
        <w:rPr>
          <w:rFonts w:hint="eastAsia"/>
        </w:rPr>
        <w:t>合</w:t>
      </w:r>
      <w:proofErr w:type="gramStart"/>
      <w:r>
        <w:rPr>
          <w:rFonts w:hint="eastAsia"/>
        </w:rPr>
        <w:t>规</w:t>
      </w:r>
      <w:proofErr w:type="gramEnd"/>
      <w:r>
        <w:rPr>
          <w:rFonts w:hint="eastAsia"/>
        </w:rPr>
        <w:t>检查通过情况：数据安全相关法律法规、监管要求的合</w:t>
      </w:r>
      <w:proofErr w:type="gramStart"/>
      <w:r>
        <w:rPr>
          <w:rFonts w:hint="eastAsia"/>
        </w:rPr>
        <w:t>规</w:t>
      </w:r>
      <w:proofErr w:type="gramEnd"/>
      <w:r>
        <w:rPr>
          <w:rFonts w:hint="eastAsia"/>
        </w:rPr>
        <w:t>性检查结果。</w:t>
      </w:r>
      <w:r>
        <w:rPr>
          <w:rFonts w:hint="eastAsia"/>
        </w:rPr>
        <w:br/>
      </w:r>
      <w:r>
        <w:rPr>
          <w:rFonts w:hint="eastAsia"/>
        </w:rPr>
        <w:br/>
      </w:r>
      <w:r>
        <w:rPr>
          <w:rFonts w:ascii="黑体" w:eastAsia="黑体" w:hint="eastAsia"/>
          <w:kern w:val="0"/>
          <w:szCs w:val="20"/>
        </w:rPr>
        <w:t>C.6 数据资产与应用成熟度</w:t>
      </w:r>
      <w:r>
        <w:rPr>
          <w:rFonts w:ascii="黑体" w:eastAsia="黑体" w:hint="eastAsia"/>
          <w:kern w:val="0"/>
          <w:szCs w:val="20"/>
        </w:rPr>
        <w:br/>
      </w:r>
      <w:r>
        <w:rPr>
          <w:rFonts w:hint="eastAsia"/>
        </w:rPr>
        <w:br/>
      </w:r>
      <w:r>
        <w:rPr>
          <w:rFonts w:hint="eastAsia"/>
        </w:rPr>
        <w:t>数据资产与应用是数据治理价值的直接体现，评估维度如下：</w:t>
      </w:r>
      <w:r>
        <w:rPr>
          <w:rFonts w:hint="eastAsia"/>
        </w:rPr>
        <w:br/>
      </w:r>
      <w:r>
        <w:rPr>
          <w:rFonts w:hint="eastAsia"/>
        </w:rPr>
        <w:br/>
        <w:t xml:space="preserve">a) </w:t>
      </w:r>
      <w:r>
        <w:rPr>
          <w:rFonts w:hint="eastAsia"/>
        </w:rPr>
        <w:t>数据资产目录完整度：数据资产的梳理、登记与目录建设覆盖情况。</w:t>
      </w:r>
      <w:r>
        <w:rPr>
          <w:rFonts w:hint="eastAsia"/>
        </w:rPr>
        <w:br/>
        <w:t xml:space="preserve">b) </w:t>
      </w:r>
      <w:r>
        <w:rPr>
          <w:rFonts w:hint="eastAsia"/>
        </w:rPr>
        <w:t>数据服务注册与上线规范度：数据服务的申请、审批、发布、运维的流程规范度。</w:t>
      </w:r>
      <w:r>
        <w:rPr>
          <w:rFonts w:hint="eastAsia"/>
        </w:rPr>
        <w:br/>
        <w:t xml:space="preserve">c) </w:t>
      </w:r>
      <w:r>
        <w:rPr>
          <w:rFonts w:hint="eastAsia"/>
        </w:rPr>
        <w:t>数据应用价值落地情况：数据在业务支撑、决策分析、效率提升等方面的应用成效。</w:t>
      </w:r>
      <w:r>
        <w:rPr>
          <w:rFonts w:hint="eastAsia"/>
        </w:rPr>
        <w:br/>
        <w:t xml:space="preserve">d) </w:t>
      </w:r>
      <w:r>
        <w:rPr>
          <w:rFonts w:hint="eastAsia"/>
        </w:rPr>
        <w:t>数据资产化运营水平：数据资产的价值评估、共享流通与价值转化机制的完善度。</w:t>
      </w:r>
      <w:r>
        <w:rPr>
          <w:rFonts w:hint="eastAsia"/>
        </w:rPr>
        <w:br/>
      </w:r>
      <w:r>
        <w:rPr>
          <w:rFonts w:hint="eastAsia"/>
        </w:rPr>
        <w:br/>
      </w:r>
      <w:r>
        <w:rPr>
          <w:rFonts w:ascii="黑体" w:eastAsia="黑体" w:hint="eastAsia"/>
          <w:kern w:val="0"/>
          <w:szCs w:val="20"/>
        </w:rPr>
        <w:t>C.7 过程管控成熟度</w:t>
      </w:r>
      <w:r>
        <w:rPr>
          <w:rFonts w:ascii="黑体" w:eastAsia="黑体" w:hint="eastAsia"/>
          <w:kern w:val="0"/>
          <w:szCs w:val="20"/>
        </w:rPr>
        <w:br/>
      </w:r>
      <w:r>
        <w:rPr>
          <w:rFonts w:hint="eastAsia"/>
        </w:rPr>
        <w:br/>
      </w:r>
      <w:r>
        <w:rPr>
          <w:rFonts w:hint="eastAsia"/>
        </w:rPr>
        <w:t>过程</w:t>
      </w:r>
      <w:proofErr w:type="gramStart"/>
      <w:r>
        <w:rPr>
          <w:rFonts w:hint="eastAsia"/>
        </w:rPr>
        <w:t>管控是数据</w:t>
      </w:r>
      <w:proofErr w:type="gramEnd"/>
      <w:r>
        <w:rPr>
          <w:rFonts w:hint="eastAsia"/>
        </w:rPr>
        <w:t>治理持续推进的关键支撑，评估维度如下：</w:t>
      </w:r>
      <w:r>
        <w:rPr>
          <w:rFonts w:hint="eastAsia"/>
        </w:rPr>
        <w:br/>
      </w:r>
      <w:r>
        <w:rPr>
          <w:rFonts w:hint="eastAsia"/>
        </w:rPr>
        <w:br/>
        <w:t xml:space="preserve">a) </w:t>
      </w:r>
      <w:r>
        <w:rPr>
          <w:rFonts w:hint="eastAsia"/>
        </w:rPr>
        <w:t>规划—执行—监控—改进闭环完整性：数据治理全流程闭环管理机制是否健全。</w:t>
      </w:r>
      <w:r>
        <w:rPr>
          <w:rFonts w:hint="eastAsia"/>
        </w:rPr>
        <w:br/>
        <w:t xml:space="preserve">b) </w:t>
      </w:r>
      <w:r>
        <w:rPr>
          <w:rFonts w:hint="eastAsia"/>
        </w:rPr>
        <w:t>治理项目落地率：数据治理专项项目的实施推进与目标达成情况。</w:t>
      </w:r>
      <w:r>
        <w:rPr>
          <w:rFonts w:hint="eastAsia"/>
        </w:rPr>
        <w:br/>
        <w:t xml:space="preserve">c) </w:t>
      </w:r>
      <w:r>
        <w:rPr>
          <w:rFonts w:hint="eastAsia"/>
        </w:rPr>
        <w:t>文档与日志完备性：数据治理相关制度、流程、操作日志等文档的完整性与规范性。</w:t>
      </w:r>
      <w:r>
        <w:rPr>
          <w:rFonts w:hint="eastAsia"/>
        </w:rPr>
        <w:br/>
        <w:t xml:space="preserve">d) </w:t>
      </w:r>
      <w:r>
        <w:rPr>
          <w:rFonts w:hint="eastAsia"/>
        </w:rPr>
        <w:t>持续优化机制有效性：数据治理定期评估、问题整改与迭代优化机制的运行效果。</w:t>
      </w:r>
    </w:p>
    <w:p w:rsidR="00237D27" w:rsidRDefault="00237D27"/>
    <w:p w:rsidR="00237D27" w:rsidRDefault="00237D27"/>
    <w:p w:rsidR="00237D27" w:rsidRDefault="00237D27"/>
    <w:p w:rsidR="00237D27" w:rsidRDefault="00723CA1" w:rsidP="00723CA1">
      <w:pPr>
        <w:jc w:val="center"/>
      </w:pPr>
      <w:r w:rsidRPr="00723CA1">
        <w:t xml:space="preserve"> _________________________________</w:t>
      </w:r>
    </w:p>
    <w:sectPr w:rsidR="00237D27">
      <w:headerReference w:type="default" r:id="rId18"/>
      <w:footerReference w:type="default" r:id="rId19"/>
      <w:pgSz w:w="11906" w:h="16838"/>
      <w:pgMar w:top="567" w:right="1134" w:bottom="1134" w:left="1417" w:header="1418" w:footer="1134" w:gutter="0"/>
      <w:pgNumType w:start="1"/>
      <w:cols w:space="720"/>
      <w:formProt w:val="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7C67FFF" w15:done="0"/>
  <w15:commentEx w15:paraId="3ABF6B8A" w15:done="0"/>
  <w15:commentEx w15:paraId="3D1C1FF1" w15:done="0"/>
  <w15:commentEx w15:paraId="27F26FC7" w15:done="0"/>
  <w15:commentEx w15:paraId="4C0802D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90C" w:rsidRDefault="006B690C">
      <w:r>
        <w:separator/>
      </w:r>
    </w:p>
  </w:endnote>
  <w:endnote w:type="continuationSeparator" w:id="0">
    <w:p w:rsidR="006B690C" w:rsidRDefault="006B6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1E1" w:rsidRDefault="00C831E1">
    <w:pPr>
      <w:pStyle w:val="affff6"/>
    </w:pPr>
    <w:r>
      <w:fldChar w:fldCharType="begin"/>
    </w:r>
    <w:r>
      <w:instrText xml:space="preserve"> PAGE  \* MERGEFORMAT </w:instrText>
    </w:r>
    <w:r>
      <w:fldChar w:fldCharType="separate"/>
    </w:r>
    <w:r w:rsidR="00350133">
      <w:rPr>
        <w:noProof/>
      </w:rPr>
      <w:t>18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1E1" w:rsidRDefault="00C831E1">
    <w:pPr>
      <w:pStyle w:val="afffe"/>
    </w:pPr>
    <w:r>
      <w:fldChar w:fldCharType="begin"/>
    </w:r>
    <w:r>
      <w:instrText xml:space="preserve"> PAGE  \* MERGEFORMAT </w:instrText>
    </w:r>
    <w:r>
      <w:fldChar w:fldCharType="separate"/>
    </w:r>
    <w:r w:rsidR="00350133">
      <w:rPr>
        <w:noProof/>
      </w:rPr>
      <w:t>III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1E1" w:rsidRDefault="00C831E1">
    <w:pPr>
      <w:pStyle w:val="aff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90C" w:rsidRDefault="006B690C">
      <w:r>
        <w:separator/>
      </w:r>
    </w:p>
  </w:footnote>
  <w:footnote w:type="continuationSeparator" w:id="0">
    <w:p w:rsidR="006B690C" w:rsidRDefault="006B6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1E1" w:rsidRDefault="00C831E1">
    <w:pPr>
      <w:pStyle w:val="affff7"/>
    </w:pPr>
    <w:r>
      <w:t>T/CNEA XXXX</w:t>
    </w:r>
    <w:r>
      <w:t>—</w:t>
    </w:r>
    <w: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1E1" w:rsidRDefault="00C831E1">
    <w:pPr>
      <w:pStyle w:val="affff"/>
    </w:pPr>
    <w:r>
      <w:rPr>
        <w:rFonts w:hint="eastAsia"/>
      </w:rPr>
      <w:t>T</w:t>
    </w:r>
    <w:r>
      <w:t>/</w:t>
    </w:r>
    <w:r>
      <w:rPr>
        <w:rFonts w:hint="eastAsia"/>
      </w:rPr>
      <w:t>CNEA</w:t>
    </w:r>
    <w:r>
      <w:t xml:space="preserve"> XXXX</w:t>
    </w:r>
    <w:r>
      <w:t>—</w:t>
    </w:r>
    <w: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1E1" w:rsidRDefault="00C831E1">
    <w:pPr>
      <w:pStyle w:val="affff"/>
    </w:pPr>
    <w:r>
      <w:rPr>
        <w:rFonts w:hint="eastAsia"/>
      </w:rPr>
      <w:t>T</w:t>
    </w:r>
    <w:r>
      <w:t>/</w:t>
    </w:r>
    <w:r>
      <w:rPr>
        <w:rFonts w:hint="eastAsia"/>
      </w:rPr>
      <w:t>CNEA</w:t>
    </w:r>
    <w:r>
      <w:t xml:space="preserve"> 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7549C7"/>
    <w:multiLevelType w:val="singleLevel"/>
    <w:tmpl w:val="D07549C7"/>
    <w:lvl w:ilvl="0">
      <w:start w:val="1"/>
      <w:numFmt w:val="lowerLetter"/>
      <w:suff w:val="space"/>
      <w:lvlText w:val="%1)"/>
      <w:lvlJc w:val="left"/>
    </w:lvl>
  </w:abstractNum>
  <w:abstractNum w:abstractNumId="1">
    <w:nsid w:val="FFFFFF81"/>
    <w:multiLevelType w:val="singleLevel"/>
    <w:tmpl w:val="FFFFFF81"/>
    <w:lvl w:ilvl="0">
      <w:start w:val="1"/>
      <w:numFmt w:val="bullet"/>
      <w:pStyle w:val="4"/>
      <w:lvlText w:val=""/>
      <w:lvlJc w:val="left"/>
      <w:pPr>
        <w:tabs>
          <w:tab w:val="left" w:pos="1620"/>
        </w:tabs>
        <w:ind w:leftChars="600" w:left="1620" w:hangingChars="200" w:hanging="360"/>
      </w:pPr>
      <w:rPr>
        <w:rFonts w:ascii="Wingdings" w:hAnsi="Wingdings" w:hint="default"/>
      </w:rPr>
    </w:lvl>
  </w:abstractNum>
  <w:abstractNum w:abstractNumId="2">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D1C0BD9"/>
    <w:multiLevelType w:val="multilevel"/>
    <w:tmpl w:val="0D1C0BD9"/>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ascii="黑体" w:eastAsia="黑体" w:hAnsi="黑体" w:hint="eastAsia"/>
      </w:rPr>
    </w:lvl>
    <w:lvl w:ilvl="2">
      <w:start w:val="1"/>
      <w:numFmt w:val="decimal"/>
      <w:pStyle w:val="3"/>
      <w:lvlText w:val="%1.%2.%3"/>
      <w:lvlJc w:val="left"/>
      <w:pPr>
        <w:ind w:left="720"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7">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8">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黑体" w:cs="黑体" w:hint="default"/>
        <w:b w:val="0"/>
        <w:bCs w:val="0"/>
        <w:i w:val="0"/>
        <w:iCs w:val="0"/>
        <w:caps w:val="0"/>
        <w:smallCaps w:val="0"/>
        <w:strike w:val="0"/>
        <w:dstrike w:val="0"/>
        <w:outline w:val="0"/>
        <w:shadow w:val="0"/>
        <w:emboss w:val="0"/>
        <w:imprint w:val="0"/>
        <w:vanish w:val="0"/>
        <w:color w:val="auto"/>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4819"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3907EB8"/>
    <w:multiLevelType w:val="singleLevel"/>
    <w:tmpl w:val="33907EB8"/>
    <w:lvl w:ilvl="0">
      <w:start w:val="1"/>
      <w:numFmt w:val="lowerLetter"/>
      <w:suff w:val="space"/>
      <w:lvlText w:val="%1)"/>
      <w:lvlJc w:val="left"/>
    </w:lvl>
  </w:abstractNum>
  <w:abstractNum w:abstractNumId="12">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3">
    <w:nsid w:val="42A45C40"/>
    <w:multiLevelType w:val="multilevel"/>
    <w:tmpl w:val="42A45C4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4C50F90"/>
    <w:multiLevelType w:val="multilevel"/>
    <w:tmpl w:val="44C50F90"/>
    <w:lvl w:ilvl="0">
      <w:start w:val="1"/>
      <w:numFmt w:val="lowerLetter"/>
      <w:lvlText w:val="%1)"/>
      <w:lvlJc w:val="left"/>
      <w:pPr>
        <w:tabs>
          <w:tab w:val="left" w:pos="840"/>
        </w:tabs>
        <w:ind w:left="839" w:hanging="419"/>
      </w:pPr>
      <w:rPr>
        <w:rFonts w:ascii="宋体" w:eastAsia="宋体" w:hint="default"/>
        <w:b w:val="0"/>
        <w:i w:val="0"/>
        <w:color w:val="auto"/>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6">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7">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8">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9">
    <w:nsid w:val="657D3FBC"/>
    <w:multiLevelType w:val="multilevel"/>
    <w:tmpl w:val="657D3FBC"/>
    <w:lvl w:ilvl="0">
      <w:start w:val="1"/>
      <w:numFmt w:val="upperLetter"/>
      <w:pStyle w:val="af8"/>
      <w:suff w:val="nothing"/>
      <w:lvlText w:val="附　录　%1"/>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0">
    <w:nsid w:val="65BE7B23"/>
    <w:multiLevelType w:val="multilevel"/>
    <w:tmpl w:val="65BE7B23"/>
    <w:lvl w:ilvl="0">
      <w:start w:val="1"/>
      <w:numFmt w:val="decimal"/>
      <w:pStyle w:val="2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2">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3">
    <w:nsid w:val="7924C5EC"/>
    <w:multiLevelType w:val="singleLevel"/>
    <w:tmpl w:val="7924C5EC"/>
    <w:lvl w:ilvl="0">
      <w:start w:val="1"/>
      <w:numFmt w:val="lowerLetter"/>
      <w:suff w:val="space"/>
      <w:lvlText w:val="%1)"/>
      <w:lvlJc w:val="left"/>
    </w:lvl>
  </w:abstractNum>
  <w:num w:numId="1">
    <w:abstractNumId w:val="5"/>
  </w:num>
  <w:num w:numId="2">
    <w:abstractNumId w:val="1"/>
  </w:num>
  <w:num w:numId="3">
    <w:abstractNumId w:val="20"/>
  </w:num>
  <w:num w:numId="4">
    <w:abstractNumId w:val="12"/>
  </w:num>
  <w:num w:numId="5">
    <w:abstractNumId w:val="8"/>
  </w:num>
  <w:num w:numId="6">
    <w:abstractNumId w:val="10"/>
  </w:num>
  <w:num w:numId="7">
    <w:abstractNumId w:val="4"/>
  </w:num>
  <w:num w:numId="8">
    <w:abstractNumId w:val="14"/>
  </w:num>
  <w:num w:numId="9">
    <w:abstractNumId w:val="22"/>
  </w:num>
  <w:num w:numId="10">
    <w:abstractNumId w:val="2"/>
  </w:num>
  <w:num w:numId="11">
    <w:abstractNumId w:val="13"/>
  </w:num>
  <w:num w:numId="12">
    <w:abstractNumId w:val="15"/>
  </w:num>
  <w:num w:numId="13">
    <w:abstractNumId w:val="7"/>
  </w:num>
  <w:num w:numId="14">
    <w:abstractNumId w:val="19"/>
  </w:num>
  <w:num w:numId="15">
    <w:abstractNumId w:val="17"/>
  </w:num>
  <w:num w:numId="16">
    <w:abstractNumId w:val="21"/>
  </w:num>
  <w:num w:numId="17">
    <w:abstractNumId w:val="9"/>
  </w:num>
  <w:num w:numId="18">
    <w:abstractNumId w:val="3"/>
  </w:num>
  <w:num w:numId="19">
    <w:abstractNumId w:val="6"/>
  </w:num>
  <w:num w:numId="20">
    <w:abstractNumId w:val="18"/>
  </w:num>
  <w:num w:numId="21">
    <w:abstractNumId w:val="16"/>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num>
  <w:num w:numId="4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靳先静">
    <w15:presenceInfo w15:providerId="None" w15:userId="靳先静"/>
  </w15:person>
  <w15:person w15:author="P625370">
    <w15:presenceInfo w15:providerId="None" w15:userId="P625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5OGQ5OTJmYTJhZTI0Y2U3ZWIxZDExOWU0NzMwM2MifQ=="/>
  </w:docVars>
  <w:rsids>
    <w:rsidRoot w:val="00172A27"/>
    <w:rsid w:val="00000244"/>
    <w:rsid w:val="0000063A"/>
    <w:rsid w:val="0000185F"/>
    <w:rsid w:val="0000586F"/>
    <w:rsid w:val="00013D86"/>
    <w:rsid w:val="00013E02"/>
    <w:rsid w:val="0002143C"/>
    <w:rsid w:val="00025297"/>
    <w:rsid w:val="00025A65"/>
    <w:rsid w:val="00026C31"/>
    <w:rsid w:val="00027280"/>
    <w:rsid w:val="000320A7"/>
    <w:rsid w:val="00032ADE"/>
    <w:rsid w:val="00035925"/>
    <w:rsid w:val="000425DD"/>
    <w:rsid w:val="000467B1"/>
    <w:rsid w:val="000473DD"/>
    <w:rsid w:val="00051BFF"/>
    <w:rsid w:val="00054A1D"/>
    <w:rsid w:val="000607A3"/>
    <w:rsid w:val="00062C07"/>
    <w:rsid w:val="00065BF8"/>
    <w:rsid w:val="00067CDF"/>
    <w:rsid w:val="00073B8B"/>
    <w:rsid w:val="00074FBE"/>
    <w:rsid w:val="0008090F"/>
    <w:rsid w:val="00082F2D"/>
    <w:rsid w:val="00083A09"/>
    <w:rsid w:val="0009005E"/>
    <w:rsid w:val="00092857"/>
    <w:rsid w:val="00094B66"/>
    <w:rsid w:val="000968EF"/>
    <w:rsid w:val="000A20A9"/>
    <w:rsid w:val="000A48B1"/>
    <w:rsid w:val="000A7B80"/>
    <w:rsid w:val="000B0E76"/>
    <w:rsid w:val="000B3143"/>
    <w:rsid w:val="000C57B9"/>
    <w:rsid w:val="000C6B05"/>
    <w:rsid w:val="000C6D9A"/>
    <w:rsid w:val="000C6DD6"/>
    <w:rsid w:val="000C6ED9"/>
    <w:rsid w:val="000C729C"/>
    <w:rsid w:val="000C73D4"/>
    <w:rsid w:val="000D381D"/>
    <w:rsid w:val="000D3D4C"/>
    <w:rsid w:val="000D4F51"/>
    <w:rsid w:val="000D5363"/>
    <w:rsid w:val="000D718B"/>
    <w:rsid w:val="000E0C46"/>
    <w:rsid w:val="000F030C"/>
    <w:rsid w:val="000F129C"/>
    <w:rsid w:val="000F1CEF"/>
    <w:rsid w:val="001056DE"/>
    <w:rsid w:val="00111109"/>
    <w:rsid w:val="00111A2B"/>
    <w:rsid w:val="001124C0"/>
    <w:rsid w:val="001221A6"/>
    <w:rsid w:val="0012383C"/>
    <w:rsid w:val="00124DA2"/>
    <w:rsid w:val="00126F80"/>
    <w:rsid w:val="0013175F"/>
    <w:rsid w:val="00141289"/>
    <w:rsid w:val="0015004A"/>
    <w:rsid w:val="001512B4"/>
    <w:rsid w:val="001620A5"/>
    <w:rsid w:val="00164096"/>
    <w:rsid w:val="00164E53"/>
    <w:rsid w:val="0016699D"/>
    <w:rsid w:val="00172A27"/>
    <w:rsid w:val="00175159"/>
    <w:rsid w:val="00176208"/>
    <w:rsid w:val="0018211B"/>
    <w:rsid w:val="001840D3"/>
    <w:rsid w:val="0018782A"/>
    <w:rsid w:val="00187AFF"/>
    <w:rsid w:val="001900F8"/>
    <w:rsid w:val="00191258"/>
    <w:rsid w:val="00192680"/>
    <w:rsid w:val="00193037"/>
    <w:rsid w:val="00193A2C"/>
    <w:rsid w:val="001A288E"/>
    <w:rsid w:val="001A2A4C"/>
    <w:rsid w:val="001A633A"/>
    <w:rsid w:val="001B0B02"/>
    <w:rsid w:val="001B0E8E"/>
    <w:rsid w:val="001B6DC2"/>
    <w:rsid w:val="001C149C"/>
    <w:rsid w:val="001C21AC"/>
    <w:rsid w:val="001C27EE"/>
    <w:rsid w:val="001C47BA"/>
    <w:rsid w:val="001C59EA"/>
    <w:rsid w:val="001D406C"/>
    <w:rsid w:val="001D41EE"/>
    <w:rsid w:val="001D4386"/>
    <w:rsid w:val="001D7FFB"/>
    <w:rsid w:val="001E0380"/>
    <w:rsid w:val="001E13B1"/>
    <w:rsid w:val="001E1FDF"/>
    <w:rsid w:val="001F2DE2"/>
    <w:rsid w:val="001F33F9"/>
    <w:rsid w:val="001F3A19"/>
    <w:rsid w:val="00205E88"/>
    <w:rsid w:val="002061EF"/>
    <w:rsid w:val="00212A1E"/>
    <w:rsid w:val="00231F6E"/>
    <w:rsid w:val="00234467"/>
    <w:rsid w:val="00236B26"/>
    <w:rsid w:val="00237D27"/>
    <w:rsid w:val="00237D8D"/>
    <w:rsid w:val="00241DA2"/>
    <w:rsid w:val="00247FEE"/>
    <w:rsid w:val="00250E7D"/>
    <w:rsid w:val="00252330"/>
    <w:rsid w:val="002565D5"/>
    <w:rsid w:val="002622C0"/>
    <w:rsid w:val="002705D0"/>
    <w:rsid w:val="002778AE"/>
    <w:rsid w:val="002810DB"/>
    <w:rsid w:val="0028269A"/>
    <w:rsid w:val="00283590"/>
    <w:rsid w:val="002853F6"/>
    <w:rsid w:val="00286973"/>
    <w:rsid w:val="00294E70"/>
    <w:rsid w:val="002A1924"/>
    <w:rsid w:val="002A7420"/>
    <w:rsid w:val="002B0F12"/>
    <w:rsid w:val="002B1308"/>
    <w:rsid w:val="002B4554"/>
    <w:rsid w:val="002C1294"/>
    <w:rsid w:val="002C72D8"/>
    <w:rsid w:val="002D11FA"/>
    <w:rsid w:val="002D3A19"/>
    <w:rsid w:val="002E0DDF"/>
    <w:rsid w:val="002E2906"/>
    <w:rsid w:val="002E5635"/>
    <w:rsid w:val="002E64C3"/>
    <w:rsid w:val="002E6A2C"/>
    <w:rsid w:val="002E76F4"/>
    <w:rsid w:val="002F1D8C"/>
    <w:rsid w:val="002F21DA"/>
    <w:rsid w:val="00301962"/>
    <w:rsid w:val="00301F39"/>
    <w:rsid w:val="00323DA2"/>
    <w:rsid w:val="00325926"/>
    <w:rsid w:val="0032733E"/>
    <w:rsid w:val="00327A8A"/>
    <w:rsid w:val="00330861"/>
    <w:rsid w:val="00336610"/>
    <w:rsid w:val="00340EA5"/>
    <w:rsid w:val="00342977"/>
    <w:rsid w:val="00343F73"/>
    <w:rsid w:val="00345060"/>
    <w:rsid w:val="003466EF"/>
    <w:rsid w:val="00350133"/>
    <w:rsid w:val="0035323B"/>
    <w:rsid w:val="003606FC"/>
    <w:rsid w:val="003609D2"/>
    <w:rsid w:val="00361D70"/>
    <w:rsid w:val="00363F22"/>
    <w:rsid w:val="00364EB8"/>
    <w:rsid w:val="00375564"/>
    <w:rsid w:val="00375761"/>
    <w:rsid w:val="003829EC"/>
    <w:rsid w:val="00383191"/>
    <w:rsid w:val="00386DED"/>
    <w:rsid w:val="003912E7"/>
    <w:rsid w:val="00391A54"/>
    <w:rsid w:val="00393947"/>
    <w:rsid w:val="003A2275"/>
    <w:rsid w:val="003A6A4F"/>
    <w:rsid w:val="003A7088"/>
    <w:rsid w:val="003B00DF"/>
    <w:rsid w:val="003B1275"/>
    <w:rsid w:val="003B1778"/>
    <w:rsid w:val="003C11CB"/>
    <w:rsid w:val="003C66A5"/>
    <w:rsid w:val="003C75F3"/>
    <w:rsid w:val="003C78A3"/>
    <w:rsid w:val="003D7162"/>
    <w:rsid w:val="003E1867"/>
    <w:rsid w:val="003E4DF1"/>
    <w:rsid w:val="003E5729"/>
    <w:rsid w:val="003F4EE0"/>
    <w:rsid w:val="00400D6E"/>
    <w:rsid w:val="00402153"/>
    <w:rsid w:val="00402FC1"/>
    <w:rsid w:val="004137A0"/>
    <w:rsid w:val="004143B9"/>
    <w:rsid w:val="00425082"/>
    <w:rsid w:val="004270E4"/>
    <w:rsid w:val="00431DEB"/>
    <w:rsid w:val="00432B01"/>
    <w:rsid w:val="004450ED"/>
    <w:rsid w:val="00446B29"/>
    <w:rsid w:val="00453F9A"/>
    <w:rsid w:val="00456683"/>
    <w:rsid w:val="004648DB"/>
    <w:rsid w:val="00465EB3"/>
    <w:rsid w:val="00466193"/>
    <w:rsid w:val="00471E91"/>
    <w:rsid w:val="00474675"/>
    <w:rsid w:val="0047470C"/>
    <w:rsid w:val="00480EE2"/>
    <w:rsid w:val="00482817"/>
    <w:rsid w:val="00486A08"/>
    <w:rsid w:val="004A35F9"/>
    <w:rsid w:val="004A7B66"/>
    <w:rsid w:val="004B24C1"/>
    <w:rsid w:val="004B7EA6"/>
    <w:rsid w:val="004C292F"/>
    <w:rsid w:val="004D04EE"/>
    <w:rsid w:val="004D4CE4"/>
    <w:rsid w:val="004D5348"/>
    <w:rsid w:val="004E6855"/>
    <w:rsid w:val="004F2723"/>
    <w:rsid w:val="005006E4"/>
    <w:rsid w:val="005013DE"/>
    <w:rsid w:val="00510280"/>
    <w:rsid w:val="00513D73"/>
    <w:rsid w:val="00514A43"/>
    <w:rsid w:val="00517438"/>
    <w:rsid w:val="005174E5"/>
    <w:rsid w:val="00522393"/>
    <w:rsid w:val="00522620"/>
    <w:rsid w:val="00524172"/>
    <w:rsid w:val="00525656"/>
    <w:rsid w:val="00525A9D"/>
    <w:rsid w:val="005349C5"/>
    <w:rsid w:val="00534C02"/>
    <w:rsid w:val="005403A4"/>
    <w:rsid w:val="0054264B"/>
    <w:rsid w:val="00542E76"/>
    <w:rsid w:val="00543786"/>
    <w:rsid w:val="00550BA1"/>
    <w:rsid w:val="005533D7"/>
    <w:rsid w:val="00554DB9"/>
    <w:rsid w:val="00555E65"/>
    <w:rsid w:val="005703DE"/>
    <w:rsid w:val="00571503"/>
    <w:rsid w:val="0058084C"/>
    <w:rsid w:val="0058464E"/>
    <w:rsid w:val="00595F62"/>
    <w:rsid w:val="005963A4"/>
    <w:rsid w:val="005A01CB"/>
    <w:rsid w:val="005A58FF"/>
    <w:rsid w:val="005A5EAF"/>
    <w:rsid w:val="005A64C0"/>
    <w:rsid w:val="005A6679"/>
    <w:rsid w:val="005B3C11"/>
    <w:rsid w:val="005C1C28"/>
    <w:rsid w:val="005C50C5"/>
    <w:rsid w:val="005C6DB5"/>
    <w:rsid w:val="005D5D1A"/>
    <w:rsid w:val="005E19E7"/>
    <w:rsid w:val="005E3993"/>
    <w:rsid w:val="005E4C10"/>
    <w:rsid w:val="005E694E"/>
    <w:rsid w:val="00606E65"/>
    <w:rsid w:val="0061716C"/>
    <w:rsid w:val="00623B58"/>
    <w:rsid w:val="006243A1"/>
    <w:rsid w:val="00630958"/>
    <w:rsid w:val="00632E56"/>
    <w:rsid w:val="00635AB6"/>
    <w:rsid w:val="00635CBA"/>
    <w:rsid w:val="0064338B"/>
    <w:rsid w:val="00644A84"/>
    <w:rsid w:val="00646542"/>
    <w:rsid w:val="00646E32"/>
    <w:rsid w:val="006504F4"/>
    <w:rsid w:val="00654BC9"/>
    <w:rsid w:val="006552FD"/>
    <w:rsid w:val="006604B0"/>
    <w:rsid w:val="00663AF3"/>
    <w:rsid w:val="00666B6C"/>
    <w:rsid w:val="00670600"/>
    <w:rsid w:val="006811C6"/>
    <w:rsid w:val="00682682"/>
    <w:rsid w:val="00682702"/>
    <w:rsid w:val="00685447"/>
    <w:rsid w:val="00687A37"/>
    <w:rsid w:val="00692368"/>
    <w:rsid w:val="0069506B"/>
    <w:rsid w:val="006970E8"/>
    <w:rsid w:val="006A033D"/>
    <w:rsid w:val="006A045B"/>
    <w:rsid w:val="006A2EBC"/>
    <w:rsid w:val="006A5EA0"/>
    <w:rsid w:val="006A7398"/>
    <w:rsid w:val="006A783B"/>
    <w:rsid w:val="006A7B33"/>
    <w:rsid w:val="006B3AE2"/>
    <w:rsid w:val="006B4E13"/>
    <w:rsid w:val="006B690C"/>
    <w:rsid w:val="006B75DD"/>
    <w:rsid w:val="006C6141"/>
    <w:rsid w:val="006C67E0"/>
    <w:rsid w:val="006C7ABA"/>
    <w:rsid w:val="006C7F43"/>
    <w:rsid w:val="006D09BC"/>
    <w:rsid w:val="006D0D60"/>
    <w:rsid w:val="006D1122"/>
    <w:rsid w:val="006D12D5"/>
    <w:rsid w:val="006D3C00"/>
    <w:rsid w:val="006D7D3A"/>
    <w:rsid w:val="006E3675"/>
    <w:rsid w:val="006E4A7F"/>
    <w:rsid w:val="006F6F41"/>
    <w:rsid w:val="00704DF6"/>
    <w:rsid w:val="00705791"/>
    <w:rsid w:val="0070651C"/>
    <w:rsid w:val="007132A3"/>
    <w:rsid w:val="00713C75"/>
    <w:rsid w:val="00716421"/>
    <w:rsid w:val="007169A1"/>
    <w:rsid w:val="00716CAC"/>
    <w:rsid w:val="0071749C"/>
    <w:rsid w:val="007216A5"/>
    <w:rsid w:val="00723CA1"/>
    <w:rsid w:val="00724EFB"/>
    <w:rsid w:val="007265AD"/>
    <w:rsid w:val="00734142"/>
    <w:rsid w:val="007419C3"/>
    <w:rsid w:val="007459FE"/>
    <w:rsid w:val="00745F67"/>
    <w:rsid w:val="007467A7"/>
    <w:rsid w:val="007469DD"/>
    <w:rsid w:val="0074741B"/>
    <w:rsid w:val="0074759E"/>
    <w:rsid w:val="007478EA"/>
    <w:rsid w:val="0075407C"/>
    <w:rsid w:val="0075415C"/>
    <w:rsid w:val="00763502"/>
    <w:rsid w:val="00765224"/>
    <w:rsid w:val="0076624A"/>
    <w:rsid w:val="00781405"/>
    <w:rsid w:val="007913AB"/>
    <w:rsid w:val="007914F7"/>
    <w:rsid w:val="007954AB"/>
    <w:rsid w:val="007A3DAF"/>
    <w:rsid w:val="007A6DA5"/>
    <w:rsid w:val="007B1625"/>
    <w:rsid w:val="007B706E"/>
    <w:rsid w:val="007B71EB"/>
    <w:rsid w:val="007B7C94"/>
    <w:rsid w:val="007C6205"/>
    <w:rsid w:val="007C686A"/>
    <w:rsid w:val="007C728E"/>
    <w:rsid w:val="007D2C53"/>
    <w:rsid w:val="007D3D60"/>
    <w:rsid w:val="007D4BA4"/>
    <w:rsid w:val="007E123E"/>
    <w:rsid w:val="007E1980"/>
    <w:rsid w:val="007E2C28"/>
    <w:rsid w:val="007E462A"/>
    <w:rsid w:val="007E4B76"/>
    <w:rsid w:val="007E5EA8"/>
    <w:rsid w:val="007F0CF1"/>
    <w:rsid w:val="007F12A5"/>
    <w:rsid w:val="007F4CF1"/>
    <w:rsid w:val="007F758D"/>
    <w:rsid w:val="007F7D52"/>
    <w:rsid w:val="008022F5"/>
    <w:rsid w:val="00802DCA"/>
    <w:rsid w:val="0080654C"/>
    <w:rsid w:val="008071C6"/>
    <w:rsid w:val="00817A00"/>
    <w:rsid w:val="008238D3"/>
    <w:rsid w:val="00835DB3"/>
    <w:rsid w:val="0083617B"/>
    <w:rsid w:val="008371BD"/>
    <w:rsid w:val="008426A0"/>
    <w:rsid w:val="00846CEB"/>
    <w:rsid w:val="0085030F"/>
    <w:rsid w:val="008504A8"/>
    <w:rsid w:val="0085282E"/>
    <w:rsid w:val="00854506"/>
    <w:rsid w:val="00854B55"/>
    <w:rsid w:val="0086214B"/>
    <w:rsid w:val="0087198C"/>
    <w:rsid w:val="00872C1F"/>
    <w:rsid w:val="00873B42"/>
    <w:rsid w:val="00881616"/>
    <w:rsid w:val="008846B4"/>
    <w:rsid w:val="008856D8"/>
    <w:rsid w:val="008903ED"/>
    <w:rsid w:val="00892E82"/>
    <w:rsid w:val="008A1D80"/>
    <w:rsid w:val="008B22FE"/>
    <w:rsid w:val="008B7945"/>
    <w:rsid w:val="008C1B58"/>
    <w:rsid w:val="008C39AE"/>
    <w:rsid w:val="008C590D"/>
    <w:rsid w:val="008E031B"/>
    <w:rsid w:val="008E6CD6"/>
    <w:rsid w:val="008E7029"/>
    <w:rsid w:val="008E7EF6"/>
    <w:rsid w:val="008F1F98"/>
    <w:rsid w:val="008F6758"/>
    <w:rsid w:val="009040DD"/>
    <w:rsid w:val="00905B47"/>
    <w:rsid w:val="0091331C"/>
    <w:rsid w:val="009279DE"/>
    <w:rsid w:val="00930116"/>
    <w:rsid w:val="00940C60"/>
    <w:rsid w:val="0094212C"/>
    <w:rsid w:val="00954386"/>
    <w:rsid w:val="00954689"/>
    <w:rsid w:val="009617C9"/>
    <w:rsid w:val="00961C93"/>
    <w:rsid w:val="00963EC2"/>
    <w:rsid w:val="00964D7F"/>
    <w:rsid w:val="00965324"/>
    <w:rsid w:val="0097091E"/>
    <w:rsid w:val="009760D3"/>
    <w:rsid w:val="00977132"/>
    <w:rsid w:val="00981A4B"/>
    <w:rsid w:val="00982501"/>
    <w:rsid w:val="00984BC4"/>
    <w:rsid w:val="009877D3"/>
    <w:rsid w:val="00994E8F"/>
    <w:rsid w:val="009951DC"/>
    <w:rsid w:val="009959BB"/>
    <w:rsid w:val="00997131"/>
    <w:rsid w:val="00997158"/>
    <w:rsid w:val="009979B1"/>
    <w:rsid w:val="009A33CE"/>
    <w:rsid w:val="009A3A7C"/>
    <w:rsid w:val="009B2ADB"/>
    <w:rsid w:val="009B603A"/>
    <w:rsid w:val="009C0584"/>
    <w:rsid w:val="009C2D0E"/>
    <w:rsid w:val="009C3DAC"/>
    <w:rsid w:val="009C42E0"/>
    <w:rsid w:val="009D5362"/>
    <w:rsid w:val="009D6C64"/>
    <w:rsid w:val="009E1415"/>
    <w:rsid w:val="009E6116"/>
    <w:rsid w:val="009F1540"/>
    <w:rsid w:val="009F5B11"/>
    <w:rsid w:val="00A021B4"/>
    <w:rsid w:val="00A02E43"/>
    <w:rsid w:val="00A0322E"/>
    <w:rsid w:val="00A065F9"/>
    <w:rsid w:val="00A07F34"/>
    <w:rsid w:val="00A22154"/>
    <w:rsid w:val="00A25C38"/>
    <w:rsid w:val="00A36BBE"/>
    <w:rsid w:val="00A4307A"/>
    <w:rsid w:val="00A47EBB"/>
    <w:rsid w:val="00A51CDD"/>
    <w:rsid w:val="00A531CC"/>
    <w:rsid w:val="00A53471"/>
    <w:rsid w:val="00A546D8"/>
    <w:rsid w:val="00A55F8E"/>
    <w:rsid w:val="00A61B0C"/>
    <w:rsid w:val="00A66C6A"/>
    <w:rsid w:val="00A6730D"/>
    <w:rsid w:val="00A71625"/>
    <w:rsid w:val="00A71B9B"/>
    <w:rsid w:val="00A751C7"/>
    <w:rsid w:val="00A76EFD"/>
    <w:rsid w:val="00A87844"/>
    <w:rsid w:val="00A9202C"/>
    <w:rsid w:val="00A9442F"/>
    <w:rsid w:val="00A959C7"/>
    <w:rsid w:val="00AA038C"/>
    <w:rsid w:val="00AA37EA"/>
    <w:rsid w:val="00AA62A5"/>
    <w:rsid w:val="00AA7A09"/>
    <w:rsid w:val="00AB07DA"/>
    <w:rsid w:val="00AB36A0"/>
    <w:rsid w:val="00AB3B50"/>
    <w:rsid w:val="00AB5DD8"/>
    <w:rsid w:val="00AC05B1"/>
    <w:rsid w:val="00AC097A"/>
    <w:rsid w:val="00AD356C"/>
    <w:rsid w:val="00AE0B82"/>
    <w:rsid w:val="00AE2914"/>
    <w:rsid w:val="00AE3E2E"/>
    <w:rsid w:val="00AE6D15"/>
    <w:rsid w:val="00AF3403"/>
    <w:rsid w:val="00AF5712"/>
    <w:rsid w:val="00B04182"/>
    <w:rsid w:val="00B07AE3"/>
    <w:rsid w:val="00B1065B"/>
    <w:rsid w:val="00B11430"/>
    <w:rsid w:val="00B1269E"/>
    <w:rsid w:val="00B2012E"/>
    <w:rsid w:val="00B241BB"/>
    <w:rsid w:val="00B34B29"/>
    <w:rsid w:val="00B353EB"/>
    <w:rsid w:val="00B439C4"/>
    <w:rsid w:val="00B4535E"/>
    <w:rsid w:val="00B52A8C"/>
    <w:rsid w:val="00B636A8"/>
    <w:rsid w:val="00B640D4"/>
    <w:rsid w:val="00B6597E"/>
    <w:rsid w:val="00B665C6"/>
    <w:rsid w:val="00B67F82"/>
    <w:rsid w:val="00B73D1C"/>
    <w:rsid w:val="00B805AF"/>
    <w:rsid w:val="00B80F80"/>
    <w:rsid w:val="00B869EC"/>
    <w:rsid w:val="00B936BA"/>
    <w:rsid w:val="00B9397A"/>
    <w:rsid w:val="00B9633D"/>
    <w:rsid w:val="00B97A78"/>
    <w:rsid w:val="00BA2EBE"/>
    <w:rsid w:val="00BA3D37"/>
    <w:rsid w:val="00BA63B9"/>
    <w:rsid w:val="00BB0F28"/>
    <w:rsid w:val="00BB458A"/>
    <w:rsid w:val="00BC5F77"/>
    <w:rsid w:val="00BD00D3"/>
    <w:rsid w:val="00BD1659"/>
    <w:rsid w:val="00BD2D39"/>
    <w:rsid w:val="00BD3AA9"/>
    <w:rsid w:val="00BD4096"/>
    <w:rsid w:val="00BD4A18"/>
    <w:rsid w:val="00BD6509"/>
    <w:rsid w:val="00BD6DB2"/>
    <w:rsid w:val="00BE11CF"/>
    <w:rsid w:val="00BE21AB"/>
    <w:rsid w:val="00BE55CB"/>
    <w:rsid w:val="00BF10A5"/>
    <w:rsid w:val="00BF20EC"/>
    <w:rsid w:val="00BF2D05"/>
    <w:rsid w:val="00BF34C9"/>
    <w:rsid w:val="00BF55D7"/>
    <w:rsid w:val="00BF5931"/>
    <w:rsid w:val="00BF617A"/>
    <w:rsid w:val="00C0379D"/>
    <w:rsid w:val="00C03931"/>
    <w:rsid w:val="00C05FE3"/>
    <w:rsid w:val="00C079B4"/>
    <w:rsid w:val="00C2136D"/>
    <w:rsid w:val="00C214EE"/>
    <w:rsid w:val="00C2314B"/>
    <w:rsid w:val="00C23C05"/>
    <w:rsid w:val="00C24971"/>
    <w:rsid w:val="00C26BE5"/>
    <w:rsid w:val="00C26E4D"/>
    <w:rsid w:val="00C27909"/>
    <w:rsid w:val="00C27B03"/>
    <w:rsid w:val="00C314E1"/>
    <w:rsid w:val="00C3181D"/>
    <w:rsid w:val="00C34397"/>
    <w:rsid w:val="00C35B92"/>
    <w:rsid w:val="00C4095D"/>
    <w:rsid w:val="00C601D2"/>
    <w:rsid w:val="00C63C5C"/>
    <w:rsid w:val="00C65BCC"/>
    <w:rsid w:val="00C66970"/>
    <w:rsid w:val="00C7013D"/>
    <w:rsid w:val="00C831E1"/>
    <w:rsid w:val="00C8691C"/>
    <w:rsid w:val="00C93BBD"/>
    <w:rsid w:val="00C93CB9"/>
    <w:rsid w:val="00CA168A"/>
    <w:rsid w:val="00CA357E"/>
    <w:rsid w:val="00CA44F9"/>
    <w:rsid w:val="00CA4A69"/>
    <w:rsid w:val="00CA63FA"/>
    <w:rsid w:val="00CA7B43"/>
    <w:rsid w:val="00CB3D01"/>
    <w:rsid w:val="00CB43F3"/>
    <w:rsid w:val="00CC3E0C"/>
    <w:rsid w:val="00CC58D3"/>
    <w:rsid w:val="00CC784D"/>
    <w:rsid w:val="00CD6C0C"/>
    <w:rsid w:val="00CF3541"/>
    <w:rsid w:val="00D0337B"/>
    <w:rsid w:val="00D079B2"/>
    <w:rsid w:val="00D114E9"/>
    <w:rsid w:val="00D429C6"/>
    <w:rsid w:val="00D42BD9"/>
    <w:rsid w:val="00D47748"/>
    <w:rsid w:val="00D50948"/>
    <w:rsid w:val="00D52B0C"/>
    <w:rsid w:val="00D533AC"/>
    <w:rsid w:val="00D54CC3"/>
    <w:rsid w:val="00D559A4"/>
    <w:rsid w:val="00D6041A"/>
    <w:rsid w:val="00D633EB"/>
    <w:rsid w:val="00D63691"/>
    <w:rsid w:val="00D63A4C"/>
    <w:rsid w:val="00D80566"/>
    <w:rsid w:val="00D82FF7"/>
    <w:rsid w:val="00D847FE"/>
    <w:rsid w:val="00D903D8"/>
    <w:rsid w:val="00D935D1"/>
    <w:rsid w:val="00D964EA"/>
    <w:rsid w:val="00D966D0"/>
    <w:rsid w:val="00DA0515"/>
    <w:rsid w:val="00DA0C59"/>
    <w:rsid w:val="00DA3991"/>
    <w:rsid w:val="00DB7E6C"/>
    <w:rsid w:val="00DC53E3"/>
    <w:rsid w:val="00DD2634"/>
    <w:rsid w:val="00DD5A29"/>
    <w:rsid w:val="00DD5D9D"/>
    <w:rsid w:val="00DE35CB"/>
    <w:rsid w:val="00DF21E9"/>
    <w:rsid w:val="00DF6F17"/>
    <w:rsid w:val="00E00F14"/>
    <w:rsid w:val="00E06386"/>
    <w:rsid w:val="00E14826"/>
    <w:rsid w:val="00E24EB4"/>
    <w:rsid w:val="00E24FE9"/>
    <w:rsid w:val="00E25C56"/>
    <w:rsid w:val="00E27BC4"/>
    <w:rsid w:val="00E320ED"/>
    <w:rsid w:val="00E33AFB"/>
    <w:rsid w:val="00E34218"/>
    <w:rsid w:val="00E430E7"/>
    <w:rsid w:val="00E46282"/>
    <w:rsid w:val="00E5216E"/>
    <w:rsid w:val="00E61A5D"/>
    <w:rsid w:val="00E64242"/>
    <w:rsid w:val="00E65769"/>
    <w:rsid w:val="00E752D2"/>
    <w:rsid w:val="00E82344"/>
    <w:rsid w:val="00E84C82"/>
    <w:rsid w:val="00E84D64"/>
    <w:rsid w:val="00E87408"/>
    <w:rsid w:val="00E914C4"/>
    <w:rsid w:val="00E925E1"/>
    <w:rsid w:val="00E934F5"/>
    <w:rsid w:val="00E96961"/>
    <w:rsid w:val="00EA64F5"/>
    <w:rsid w:val="00EA72EC"/>
    <w:rsid w:val="00EB11CB"/>
    <w:rsid w:val="00EB275A"/>
    <w:rsid w:val="00EB786A"/>
    <w:rsid w:val="00EC1578"/>
    <w:rsid w:val="00EC1C72"/>
    <w:rsid w:val="00EC3CC9"/>
    <w:rsid w:val="00EC680A"/>
    <w:rsid w:val="00ED78BC"/>
    <w:rsid w:val="00EE2BED"/>
    <w:rsid w:val="00EE374B"/>
    <w:rsid w:val="00EF61FE"/>
    <w:rsid w:val="00F06BE5"/>
    <w:rsid w:val="00F11BB5"/>
    <w:rsid w:val="00F1417B"/>
    <w:rsid w:val="00F30CA0"/>
    <w:rsid w:val="00F32C4D"/>
    <w:rsid w:val="00F34B99"/>
    <w:rsid w:val="00F520DC"/>
    <w:rsid w:val="00F52D7E"/>
    <w:rsid w:val="00F52DAB"/>
    <w:rsid w:val="00F543F0"/>
    <w:rsid w:val="00F66F9A"/>
    <w:rsid w:val="00F735F8"/>
    <w:rsid w:val="00F73BAA"/>
    <w:rsid w:val="00F779CF"/>
    <w:rsid w:val="00F77B46"/>
    <w:rsid w:val="00F81D29"/>
    <w:rsid w:val="00F91C4D"/>
    <w:rsid w:val="00F92FD9"/>
    <w:rsid w:val="00FA31A7"/>
    <w:rsid w:val="00FA6684"/>
    <w:rsid w:val="00FA731E"/>
    <w:rsid w:val="00FB266C"/>
    <w:rsid w:val="00FB2B38"/>
    <w:rsid w:val="00FC14BE"/>
    <w:rsid w:val="00FC1B1E"/>
    <w:rsid w:val="00FC1C60"/>
    <w:rsid w:val="00FC3DB4"/>
    <w:rsid w:val="00FC4DBC"/>
    <w:rsid w:val="00FC6358"/>
    <w:rsid w:val="00FD320D"/>
    <w:rsid w:val="00FD3620"/>
    <w:rsid w:val="00FE23DE"/>
    <w:rsid w:val="00FF065F"/>
    <w:rsid w:val="00FF1163"/>
    <w:rsid w:val="00FF5ADE"/>
    <w:rsid w:val="0100390C"/>
    <w:rsid w:val="010E570D"/>
    <w:rsid w:val="011124FE"/>
    <w:rsid w:val="0139010F"/>
    <w:rsid w:val="01572452"/>
    <w:rsid w:val="016A4161"/>
    <w:rsid w:val="01902D1C"/>
    <w:rsid w:val="019B6B2F"/>
    <w:rsid w:val="01AB4BCB"/>
    <w:rsid w:val="01AC6DF5"/>
    <w:rsid w:val="01B4054B"/>
    <w:rsid w:val="01CD6404"/>
    <w:rsid w:val="01CD7E04"/>
    <w:rsid w:val="01CF1907"/>
    <w:rsid w:val="01DC450E"/>
    <w:rsid w:val="021943A2"/>
    <w:rsid w:val="021C6183"/>
    <w:rsid w:val="021D719E"/>
    <w:rsid w:val="023F763D"/>
    <w:rsid w:val="0243291E"/>
    <w:rsid w:val="0247234C"/>
    <w:rsid w:val="025534E8"/>
    <w:rsid w:val="026C4962"/>
    <w:rsid w:val="026C63A3"/>
    <w:rsid w:val="0270578E"/>
    <w:rsid w:val="0285765B"/>
    <w:rsid w:val="02906142"/>
    <w:rsid w:val="02A13791"/>
    <w:rsid w:val="02C8629C"/>
    <w:rsid w:val="02D15C6F"/>
    <w:rsid w:val="02DF2CE3"/>
    <w:rsid w:val="02ED2428"/>
    <w:rsid w:val="03001C79"/>
    <w:rsid w:val="03051984"/>
    <w:rsid w:val="030A7672"/>
    <w:rsid w:val="030D5AB0"/>
    <w:rsid w:val="03101F14"/>
    <w:rsid w:val="033571C0"/>
    <w:rsid w:val="03376F20"/>
    <w:rsid w:val="034858F1"/>
    <w:rsid w:val="034A03D2"/>
    <w:rsid w:val="03541703"/>
    <w:rsid w:val="035E5C94"/>
    <w:rsid w:val="036C262D"/>
    <w:rsid w:val="03774A04"/>
    <w:rsid w:val="0382720A"/>
    <w:rsid w:val="03976C82"/>
    <w:rsid w:val="03A055D1"/>
    <w:rsid w:val="03B61C2A"/>
    <w:rsid w:val="03C71A42"/>
    <w:rsid w:val="03D14550"/>
    <w:rsid w:val="03E41173"/>
    <w:rsid w:val="03E726C4"/>
    <w:rsid w:val="03EC7D28"/>
    <w:rsid w:val="04074D7C"/>
    <w:rsid w:val="0428296E"/>
    <w:rsid w:val="045370A8"/>
    <w:rsid w:val="04584192"/>
    <w:rsid w:val="04656FC2"/>
    <w:rsid w:val="04820ADC"/>
    <w:rsid w:val="048E0186"/>
    <w:rsid w:val="04B94744"/>
    <w:rsid w:val="04C04528"/>
    <w:rsid w:val="04C75D62"/>
    <w:rsid w:val="04E63D64"/>
    <w:rsid w:val="05004FF4"/>
    <w:rsid w:val="05046E23"/>
    <w:rsid w:val="0510745B"/>
    <w:rsid w:val="05123324"/>
    <w:rsid w:val="05157166"/>
    <w:rsid w:val="051B1699"/>
    <w:rsid w:val="05212300"/>
    <w:rsid w:val="052877B3"/>
    <w:rsid w:val="053359E0"/>
    <w:rsid w:val="054C53A6"/>
    <w:rsid w:val="0559658C"/>
    <w:rsid w:val="055C49EB"/>
    <w:rsid w:val="05683E17"/>
    <w:rsid w:val="05903B17"/>
    <w:rsid w:val="05B979A7"/>
    <w:rsid w:val="05C27757"/>
    <w:rsid w:val="05D86EA4"/>
    <w:rsid w:val="05D97E37"/>
    <w:rsid w:val="05E61A3D"/>
    <w:rsid w:val="05FE35B3"/>
    <w:rsid w:val="060716B0"/>
    <w:rsid w:val="062118BE"/>
    <w:rsid w:val="064D5098"/>
    <w:rsid w:val="064F1C5F"/>
    <w:rsid w:val="06510766"/>
    <w:rsid w:val="06593E99"/>
    <w:rsid w:val="065B7800"/>
    <w:rsid w:val="06863B44"/>
    <w:rsid w:val="068E314F"/>
    <w:rsid w:val="069D12EF"/>
    <w:rsid w:val="06AD0181"/>
    <w:rsid w:val="06AE147B"/>
    <w:rsid w:val="06B70A90"/>
    <w:rsid w:val="06D14FE5"/>
    <w:rsid w:val="06F11789"/>
    <w:rsid w:val="070F0EFA"/>
    <w:rsid w:val="072F2CD8"/>
    <w:rsid w:val="077A1E53"/>
    <w:rsid w:val="07876842"/>
    <w:rsid w:val="078F6B1A"/>
    <w:rsid w:val="079936F1"/>
    <w:rsid w:val="07AE35A7"/>
    <w:rsid w:val="07D70914"/>
    <w:rsid w:val="07FF7B2E"/>
    <w:rsid w:val="085525B3"/>
    <w:rsid w:val="08636F3C"/>
    <w:rsid w:val="08B05F5B"/>
    <w:rsid w:val="08D95292"/>
    <w:rsid w:val="090642A6"/>
    <w:rsid w:val="090E4468"/>
    <w:rsid w:val="091B4877"/>
    <w:rsid w:val="095835E2"/>
    <w:rsid w:val="09664FE7"/>
    <w:rsid w:val="09762B92"/>
    <w:rsid w:val="098B0C62"/>
    <w:rsid w:val="098E7DDC"/>
    <w:rsid w:val="09B3627A"/>
    <w:rsid w:val="09B82C7E"/>
    <w:rsid w:val="09BE460B"/>
    <w:rsid w:val="09CD4D95"/>
    <w:rsid w:val="09E00043"/>
    <w:rsid w:val="09E756E8"/>
    <w:rsid w:val="09ED18D7"/>
    <w:rsid w:val="0A24615F"/>
    <w:rsid w:val="0A25524B"/>
    <w:rsid w:val="0A293CBB"/>
    <w:rsid w:val="0A405ADE"/>
    <w:rsid w:val="0A89282E"/>
    <w:rsid w:val="0A94336A"/>
    <w:rsid w:val="0A951956"/>
    <w:rsid w:val="0ADB487C"/>
    <w:rsid w:val="0AE51E6F"/>
    <w:rsid w:val="0AE5406E"/>
    <w:rsid w:val="0AEE6EFC"/>
    <w:rsid w:val="0B0523A4"/>
    <w:rsid w:val="0B0F4EB2"/>
    <w:rsid w:val="0B4D3CCE"/>
    <w:rsid w:val="0B53768A"/>
    <w:rsid w:val="0B7735DC"/>
    <w:rsid w:val="0B7A405C"/>
    <w:rsid w:val="0B7E12A2"/>
    <w:rsid w:val="0B894B7C"/>
    <w:rsid w:val="0B8B007F"/>
    <w:rsid w:val="0B8E3E7B"/>
    <w:rsid w:val="0B8E7D66"/>
    <w:rsid w:val="0BA97F93"/>
    <w:rsid w:val="0BAE720F"/>
    <w:rsid w:val="0BB46A02"/>
    <w:rsid w:val="0BCE1688"/>
    <w:rsid w:val="0C014E95"/>
    <w:rsid w:val="0C041076"/>
    <w:rsid w:val="0C1B40EA"/>
    <w:rsid w:val="0C2C0AC2"/>
    <w:rsid w:val="0C452D30"/>
    <w:rsid w:val="0C634E99"/>
    <w:rsid w:val="0C905054"/>
    <w:rsid w:val="0CB428A5"/>
    <w:rsid w:val="0CC62061"/>
    <w:rsid w:val="0D0F0BBE"/>
    <w:rsid w:val="0D333556"/>
    <w:rsid w:val="0D42622D"/>
    <w:rsid w:val="0D444E52"/>
    <w:rsid w:val="0D495EA4"/>
    <w:rsid w:val="0D4B02A6"/>
    <w:rsid w:val="0D5044E7"/>
    <w:rsid w:val="0D6848DF"/>
    <w:rsid w:val="0D6A70B2"/>
    <w:rsid w:val="0D753F8C"/>
    <w:rsid w:val="0DAF4501"/>
    <w:rsid w:val="0DC36A25"/>
    <w:rsid w:val="0DC7542B"/>
    <w:rsid w:val="0DDF2AD2"/>
    <w:rsid w:val="0DE00553"/>
    <w:rsid w:val="0DE802C1"/>
    <w:rsid w:val="0DE86E64"/>
    <w:rsid w:val="0E00163B"/>
    <w:rsid w:val="0E090A68"/>
    <w:rsid w:val="0E107AD6"/>
    <w:rsid w:val="0E2257D3"/>
    <w:rsid w:val="0E2F3B55"/>
    <w:rsid w:val="0E3634E0"/>
    <w:rsid w:val="0E3F636E"/>
    <w:rsid w:val="0E411871"/>
    <w:rsid w:val="0E4F734C"/>
    <w:rsid w:val="0E5C209B"/>
    <w:rsid w:val="0E5F4EB2"/>
    <w:rsid w:val="0E6F00B3"/>
    <w:rsid w:val="0E757E12"/>
    <w:rsid w:val="0EA227EA"/>
    <w:rsid w:val="0EAB569D"/>
    <w:rsid w:val="0EBD36F8"/>
    <w:rsid w:val="0ED95B0D"/>
    <w:rsid w:val="0EFF307D"/>
    <w:rsid w:val="0F00642C"/>
    <w:rsid w:val="0F013EAE"/>
    <w:rsid w:val="0F0260AC"/>
    <w:rsid w:val="0F0912BA"/>
    <w:rsid w:val="0F130E85"/>
    <w:rsid w:val="0F696151"/>
    <w:rsid w:val="0F7A2873"/>
    <w:rsid w:val="0F8F23CE"/>
    <w:rsid w:val="0F9C78ED"/>
    <w:rsid w:val="0FA13C51"/>
    <w:rsid w:val="0FD37C74"/>
    <w:rsid w:val="0FE36A1F"/>
    <w:rsid w:val="0FEA42FB"/>
    <w:rsid w:val="10011CD0"/>
    <w:rsid w:val="101A497B"/>
    <w:rsid w:val="102134AF"/>
    <w:rsid w:val="1026620F"/>
    <w:rsid w:val="102E7D98"/>
    <w:rsid w:val="104511A7"/>
    <w:rsid w:val="105E4FFE"/>
    <w:rsid w:val="107916AF"/>
    <w:rsid w:val="107A18DD"/>
    <w:rsid w:val="107C119C"/>
    <w:rsid w:val="10805BC6"/>
    <w:rsid w:val="1087752D"/>
    <w:rsid w:val="108E5C14"/>
    <w:rsid w:val="10BC4184"/>
    <w:rsid w:val="10D053A3"/>
    <w:rsid w:val="10E250B3"/>
    <w:rsid w:val="110000F0"/>
    <w:rsid w:val="112D1D65"/>
    <w:rsid w:val="11385FEA"/>
    <w:rsid w:val="113862E4"/>
    <w:rsid w:val="11713562"/>
    <w:rsid w:val="117E09BE"/>
    <w:rsid w:val="11B07928"/>
    <w:rsid w:val="11C64636"/>
    <w:rsid w:val="11DB5616"/>
    <w:rsid w:val="11E96D11"/>
    <w:rsid w:val="12002496"/>
    <w:rsid w:val="12072FE4"/>
    <w:rsid w:val="12252451"/>
    <w:rsid w:val="12383BF2"/>
    <w:rsid w:val="123B4A0B"/>
    <w:rsid w:val="12494C0F"/>
    <w:rsid w:val="12564396"/>
    <w:rsid w:val="125D5E2E"/>
    <w:rsid w:val="12747D3D"/>
    <w:rsid w:val="12864A74"/>
    <w:rsid w:val="128A347A"/>
    <w:rsid w:val="129407D8"/>
    <w:rsid w:val="12AD2C1A"/>
    <w:rsid w:val="12B94EC3"/>
    <w:rsid w:val="12EE4BC2"/>
    <w:rsid w:val="13124658"/>
    <w:rsid w:val="13246E38"/>
    <w:rsid w:val="133945AE"/>
    <w:rsid w:val="134F66BB"/>
    <w:rsid w:val="13547971"/>
    <w:rsid w:val="135A37E2"/>
    <w:rsid w:val="13717EF5"/>
    <w:rsid w:val="13B7360E"/>
    <w:rsid w:val="13C7313C"/>
    <w:rsid w:val="13D64D3B"/>
    <w:rsid w:val="13D80B9E"/>
    <w:rsid w:val="13E167C1"/>
    <w:rsid w:val="13E214AD"/>
    <w:rsid w:val="13E968BA"/>
    <w:rsid w:val="13F455E4"/>
    <w:rsid w:val="1404469C"/>
    <w:rsid w:val="14415641"/>
    <w:rsid w:val="144C30DB"/>
    <w:rsid w:val="14665A1B"/>
    <w:rsid w:val="14742B37"/>
    <w:rsid w:val="148B3E12"/>
    <w:rsid w:val="14A740BD"/>
    <w:rsid w:val="14BA72B1"/>
    <w:rsid w:val="14BC4694"/>
    <w:rsid w:val="14E51FD5"/>
    <w:rsid w:val="14EA104F"/>
    <w:rsid w:val="152C22F7"/>
    <w:rsid w:val="15612C23"/>
    <w:rsid w:val="157528D1"/>
    <w:rsid w:val="157732B0"/>
    <w:rsid w:val="159D1783"/>
    <w:rsid w:val="15BF2528"/>
    <w:rsid w:val="15C164C0"/>
    <w:rsid w:val="15CA6D9B"/>
    <w:rsid w:val="15D00AC4"/>
    <w:rsid w:val="15E3093D"/>
    <w:rsid w:val="16041BFD"/>
    <w:rsid w:val="1606315B"/>
    <w:rsid w:val="165C1A7C"/>
    <w:rsid w:val="166511CC"/>
    <w:rsid w:val="167C7C34"/>
    <w:rsid w:val="168C6E8D"/>
    <w:rsid w:val="16992920"/>
    <w:rsid w:val="169A7B2C"/>
    <w:rsid w:val="16C77E71"/>
    <w:rsid w:val="16CA243A"/>
    <w:rsid w:val="16CC3ACC"/>
    <w:rsid w:val="16DB6C0C"/>
    <w:rsid w:val="16EA1425"/>
    <w:rsid w:val="16EC71C4"/>
    <w:rsid w:val="17161E2D"/>
    <w:rsid w:val="17403D2B"/>
    <w:rsid w:val="17411E34"/>
    <w:rsid w:val="17620954"/>
    <w:rsid w:val="176A4003"/>
    <w:rsid w:val="17701D73"/>
    <w:rsid w:val="17751730"/>
    <w:rsid w:val="177B39CB"/>
    <w:rsid w:val="177C6796"/>
    <w:rsid w:val="17802C1E"/>
    <w:rsid w:val="17857405"/>
    <w:rsid w:val="179B5BA2"/>
    <w:rsid w:val="17AC041C"/>
    <w:rsid w:val="17CD529B"/>
    <w:rsid w:val="17CF079E"/>
    <w:rsid w:val="17D34B0B"/>
    <w:rsid w:val="18022C5C"/>
    <w:rsid w:val="180A6356"/>
    <w:rsid w:val="18135A10"/>
    <w:rsid w:val="18197919"/>
    <w:rsid w:val="181D3326"/>
    <w:rsid w:val="18464A98"/>
    <w:rsid w:val="18510836"/>
    <w:rsid w:val="185309F7"/>
    <w:rsid w:val="18580614"/>
    <w:rsid w:val="186552AF"/>
    <w:rsid w:val="186E7023"/>
    <w:rsid w:val="18721BFE"/>
    <w:rsid w:val="18854A4A"/>
    <w:rsid w:val="18856C48"/>
    <w:rsid w:val="188E1AD6"/>
    <w:rsid w:val="18980749"/>
    <w:rsid w:val="18B1209F"/>
    <w:rsid w:val="18C654B3"/>
    <w:rsid w:val="18CF62D0"/>
    <w:rsid w:val="18E875A5"/>
    <w:rsid w:val="19313667"/>
    <w:rsid w:val="1940737B"/>
    <w:rsid w:val="194D447B"/>
    <w:rsid w:val="195B16B9"/>
    <w:rsid w:val="199A28D7"/>
    <w:rsid w:val="19B6167D"/>
    <w:rsid w:val="19C378EF"/>
    <w:rsid w:val="19CB53AF"/>
    <w:rsid w:val="19D531DF"/>
    <w:rsid w:val="19FA0515"/>
    <w:rsid w:val="1A2069E9"/>
    <w:rsid w:val="1A4A30B1"/>
    <w:rsid w:val="1A547F4B"/>
    <w:rsid w:val="1A6108A1"/>
    <w:rsid w:val="1A675548"/>
    <w:rsid w:val="1A7E4804"/>
    <w:rsid w:val="1AA63A91"/>
    <w:rsid w:val="1AB36AD5"/>
    <w:rsid w:val="1ABA53B7"/>
    <w:rsid w:val="1AC31A76"/>
    <w:rsid w:val="1AC44F5C"/>
    <w:rsid w:val="1ACE5888"/>
    <w:rsid w:val="1AF112C0"/>
    <w:rsid w:val="1AF47500"/>
    <w:rsid w:val="1AF5354A"/>
    <w:rsid w:val="1AFA76B7"/>
    <w:rsid w:val="1B02285F"/>
    <w:rsid w:val="1B0D536D"/>
    <w:rsid w:val="1B155FFD"/>
    <w:rsid w:val="1B3B203B"/>
    <w:rsid w:val="1B4D19DA"/>
    <w:rsid w:val="1B4E745B"/>
    <w:rsid w:val="1B4F2D87"/>
    <w:rsid w:val="1B9B23E4"/>
    <w:rsid w:val="1BAA2AB3"/>
    <w:rsid w:val="1BB24998"/>
    <w:rsid w:val="1BD73B3C"/>
    <w:rsid w:val="1BE870E9"/>
    <w:rsid w:val="1BF0414B"/>
    <w:rsid w:val="1BF55067"/>
    <w:rsid w:val="1BF765EF"/>
    <w:rsid w:val="1BFC5138"/>
    <w:rsid w:val="1C06086A"/>
    <w:rsid w:val="1C1D60BD"/>
    <w:rsid w:val="1C2A5B45"/>
    <w:rsid w:val="1C2D1AA1"/>
    <w:rsid w:val="1C2E5379"/>
    <w:rsid w:val="1C4B6079"/>
    <w:rsid w:val="1C5E0883"/>
    <w:rsid w:val="1C6F1D25"/>
    <w:rsid w:val="1CB15A1E"/>
    <w:rsid w:val="1CDC7B67"/>
    <w:rsid w:val="1CF7453B"/>
    <w:rsid w:val="1D1830C9"/>
    <w:rsid w:val="1D3849FD"/>
    <w:rsid w:val="1D5275E0"/>
    <w:rsid w:val="1D54432D"/>
    <w:rsid w:val="1D586185"/>
    <w:rsid w:val="1D636929"/>
    <w:rsid w:val="1D6E4ED7"/>
    <w:rsid w:val="1D75151A"/>
    <w:rsid w:val="1D76318B"/>
    <w:rsid w:val="1D7F6D39"/>
    <w:rsid w:val="1D8A7DA3"/>
    <w:rsid w:val="1D8F2E8D"/>
    <w:rsid w:val="1DA03128"/>
    <w:rsid w:val="1DB14F7D"/>
    <w:rsid w:val="1DB22149"/>
    <w:rsid w:val="1DB6675D"/>
    <w:rsid w:val="1DD204D4"/>
    <w:rsid w:val="1DE55A2C"/>
    <w:rsid w:val="1DF849C6"/>
    <w:rsid w:val="1E0A2DBB"/>
    <w:rsid w:val="1E1F1478"/>
    <w:rsid w:val="1E2223FC"/>
    <w:rsid w:val="1E2E1A92"/>
    <w:rsid w:val="1E3C6829"/>
    <w:rsid w:val="1E674F3D"/>
    <w:rsid w:val="1E6D1794"/>
    <w:rsid w:val="1E934DFA"/>
    <w:rsid w:val="1EB5766D"/>
    <w:rsid w:val="1EB841BF"/>
    <w:rsid w:val="1ECB1AB4"/>
    <w:rsid w:val="1ED90DF6"/>
    <w:rsid w:val="1EEE40CF"/>
    <w:rsid w:val="1F0307F1"/>
    <w:rsid w:val="1F0761CC"/>
    <w:rsid w:val="1F090C21"/>
    <w:rsid w:val="1F160A01"/>
    <w:rsid w:val="1F1C1AAF"/>
    <w:rsid w:val="1F2448D0"/>
    <w:rsid w:val="1F264229"/>
    <w:rsid w:val="1F355FA5"/>
    <w:rsid w:val="1F3D038C"/>
    <w:rsid w:val="1F444440"/>
    <w:rsid w:val="1F4A3163"/>
    <w:rsid w:val="1F5A6DEE"/>
    <w:rsid w:val="1F6855F3"/>
    <w:rsid w:val="1F747C24"/>
    <w:rsid w:val="1F8177E5"/>
    <w:rsid w:val="1F8B19CE"/>
    <w:rsid w:val="1FA215F4"/>
    <w:rsid w:val="1FB50D4C"/>
    <w:rsid w:val="1FC475AA"/>
    <w:rsid w:val="1FD33A11"/>
    <w:rsid w:val="20002AC5"/>
    <w:rsid w:val="20031493"/>
    <w:rsid w:val="20174E36"/>
    <w:rsid w:val="201E47C1"/>
    <w:rsid w:val="20490B12"/>
    <w:rsid w:val="204C7534"/>
    <w:rsid w:val="206E7A43"/>
    <w:rsid w:val="20733128"/>
    <w:rsid w:val="207F293F"/>
    <w:rsid w:val="20834165"/>
    <w:rsid w:val="20A830A0"/>
    <w:rsid w:val="20B455DE"/>
    <w:rsid w:val="20D94DDE"/>
    <w:rsid w:val="20E856CD"/>
    <w:rsid w:val="20F5319F"/>
    <w:rsid w:val="20F90900"/>
    <w:rsid w:val="20F91BA5"/>
    <w:rsid w:val="21120551"/>
    <w:rsid w:val="21137F36"/>
    <w:rsid w:val="21290176"/>
    <w:rsid w:val="21325C72"/>
    <w:rsid w:val="21470019"/>
    <w:rsid w:val="216F1DE9"/>
    <w:rsid w:val="219D5641"/>
    <w:rsid w:val="21BC247E"/>
    <w:rsid w:val="21CF0904"/>
    <w:rsid w:val="22096E05"/>
    <w:rsid w:val="220C363D"/>
    <w:rsid w:val="222F7A24"/>
    <w:rsid w:val="223035CE"/>
    <w:rsid w:val="22555A84"/>
    <w:rsid w:val="227C7B23"/>
    <w:rsid w:val="22902F40"/>
    <w:rsid w:val="22B84105"/>
    <w:rsid w:val="22CE584C"/>
    <w:rsid w:val="22D37EFA"/>
    <w:rsid w:val="22F11CE0"/>
    <w:rsid w:val="2304472C"/>
    <w:rsid w:val="23066402"/>
    <w:rsid w:val="2320592D"/>
    <w:rsid w:val="232322B6"/>
    <w:rsid w:val="233822BF"/>
    <w:rsid w:val="233B46DE"/>
    <w:rsid w:val="234704F0"/>
    <w:rsid w:val="23490170"/>
    <w:rsid w:val="237544B8"/>
    <w:rsid w:val="237A41C3"/>
    <w:rsid w:val="23BE1434"/>
    <w:rsid w:val="23F411FF"/>
    <w:rsid w:val="241C17CD"/>
    <w:rsid w:val="24290AE3"/>
    <w:rsid w:val="246D6D6E"/>
    <w:rsid w:val="247B04C2"/>
    <w:rsid w:val="25181447"/>
    <w:rsid w:val="25304BCD"/>
    <w:rsid w:val="25415BDC"/>
    <w:rsid w:val="2555453E"/>
    <w:rsid w:val="255816B9"/>
    <w:rsid w:val="25701C2F"/>
    <w:rsid w:val="25894F2F"/>
    <w:rsid w:val="258D2929"/>
    <w:rsid w:val="25D06895"/>
    <w:rsid w:val="25E22033"/>
    <w:rsid w:val="2605353A"/>
    <w:rsid w:val="26133E87"/>
    <w:rsid w:val="26187E6C"/>
    <w:rsid w:val="261E6879"/>
    <w:rsid w:val="26210DD4"/>
    <w:rsid w:val="263E274C"/>
    <w:rsid w:val="26430DD2"/>
    <w:rsid w:val="26634A82"/>
    <w:rsid w:val="26887D7C"/>
    <w:rsid w:val="26927675"/>
    <w:rsid w:val="26D67448"/>
    <w:rsid w:val="26E778A7"/>
    <w:rsid w:val="26EA60E8"/>
    <w:rsid w:val="26F012E3"/>
    <w:rsid w:val="26F469F8"/>
    <w:rsid w:val="26F740F9"/>
    <w:rsid w:val="26F81B7B"/>
    <w:rsid w:val="2701248A"/>
    <w:rsid w:val="270C409F"/>
    <w:rsid w:val="270D5EF4"/>
    <w:rsid w:val="27304D8B"/>
    <w:rsid w:val="27567996"/>
    <w:rsid w:val="277D0AC3"/>
    <w:rsid w:val="278A496D"/>
    <w:rsid w:val="279A7186"/>
    <w:rsid w:val="27AA7B8D"/>
    <w:rsid w:val="27B125CD"/>
    <w:rsid w:val="27C747D2"/>
    <w:rsid w:val="27CF1BDE"/>
    <w:rsid w:val="27D36066"/>
    <w:rsid w:val="27D964C4"/>
    <w:rsid w:val="27DB7654"/>
    <w:rsid w:val="27F967E2"/>
    <w:rsid w:val="28014BFC"/>
    <w:rsid w:val="280B157B"/>
    <w:rsid w:val="28234045"/>
    <w:rsid w:val="2826784C"/>
    <w:rsid w:val="28373119"/>
    <w:rsid w:val="2841669A"/>
    <w:rsid w:val="28556108"/>
    <w:rsid w:val="286C4F60"/>
    <w:rsid w:val="288A7614"/>
    <w:rsid w:val="289B47AA"/>
    <w:rsid w:val="28C433F0"/>
    <w:rsid w:val="28E24072"/>
    <w:rsid w:val="28F4137E"/>
    <w:rsid w:val="28FB2017"/>
    <w:rsid w:val="291E06B3"/>
    <w:rsid w:val="294B3E66"/>
    <w:rsid w:val="294B6B4C"/>
    <w:rsid w:val="29514E19"/>
    <w:rsid w:val="295D3D67"/>
    <w:rsid w:val="299327C4"/>
    <w:rsid w:val="29987FBB"/>
    <w:rsid w:val="29A30860"/>
    <w:rsid w:val="29B23078"/>
    <w:rsid w:val="29CF5CB4"/>
    <w:rsid w:val="29D4102F"/>
    <w:rsid w:val="29D64532"/>
    <w:rsid w:val="2A2E29C2"/>
    <w:rsid w:val="2A541BD8"/>
    <w:rsid w:val="2A7C4A7E"/>
    <w:rsid w:val="2A8037A7"/>
    <w:rsid w:val="2AB73E15"/>
    <w:rsid w:val="2AD049D6"/>
    <w:rsid w:val="2AD66D57"/>
    <w:rsid w:val="2AD96E3A"/>
    <w:rsid w:val="2AEC6278"/>
    <w:rsid w:val="2AF04C7E"/>
    <w:rsid w:val="2B0C45AE"/>
    <w:rsid w:val="2B122C35"/>
    <w:rsid w:val="2B1E7D4C"/>
    <w:rsid w:val="2B28065B"/>
    <w:rsid w:val="2B31159B"/>
    <w:rsid w:val="2B634FBD"/>
    <w:rsid w:val="2B6E6096"/>
    <w:rsid w:val="2B723F53"/>
    <w:rsid w:val="2B8D69EE"/>
    <w:rsid w:val="2BA8442D"/>
    <w:rsid w:val="2BAF3DB8"/>
    <w:rsid w:val="2BB22B69"/>
    <w:rsid w:val="2BE779F2"/>
    <w:rsid w:val="2BEA19EA"/>
    <w:rsid w:val="2BEE33CF"/>
    <w:rsid w:val="2C062248"/>
    <w:rsid w:val="2C072F7D"/>
    <w:rsid w:val="2C233D76"/>
    <w:rsid w:val="2C351E0C"/>
    <w:rsid w:val="2C3D7F30"/>
    <w:rsid w:val="2C58628E"/>
    <w:rsid w:val="2C761602"/>
    <w:rsid w:val="2C806F3E"/>
    <w:rsid w:val="2C8C5D24"/>
    <w:rsid w:val="2C9B4CBA"/>
    <w:rsid w:val="2CAF4966"/>
    <w:rsid w:val="2CBE19F6"/>
    <w:rsid w:val="2CD10A17"/>
    <w:rsid w:val="2CE53D8B"/>
    <w:rsid w:val="2CF57952"/>
    <w:rsid w:val="2CFC72DD"/>
    <w:rsid w:val="2D005368"/>
    <w:rsid w:val="2D125BFD"/>
    <w:rsid w:val="2D1876F6"/>
    <w:rsid w:val="2D413AA2"/>
    <w:rsid w:val="2D78174C"/>
    <w:rsid w:val="2DBB2B93"/>
    <w:rsid w:val="2DF11AEB"/>
    <w:rsid w:val="2DFF37EC"/>
    <w:rsid w:val="2E0C2F97"/>
    <w:rsid w:val="2E34285D"/>
    <w:rsid w:val="2E3A0A38"/>
    <w:rsid w:val="2E863888"/>
    <w:rsid w:val="2E9069BE"/>
    <w:rsid w:val="2E9665E0"/>
    <w:rsid w:val="2E9A5A84"/>
    <w:rsid w:val="2EA66014"/>
    <w:rsid w:val="2ECC4926"/>
    <w:rsid w:val="2ED860B2"/>
    <w:rsid w:val="2EEC7A71"/>
    <w:rsid w:val="2EFA1321"/>
    <w:rsid w:val="2EFC4824"/>
    <w:rsid w:val="2EFC6A22"/>
    <w:rsid w:val="2F227FD8"/>
    <w:rsid w:val="2F382C77"/>
    <w:rsid w:val="2F3F6304"/>
    <w:rsid w:val="2F611FCA"/>
    <w:rsid w:val="2F6A66CC"/>
    <w:rsid w:val="2F714EB7"/>
    <w:rsid w:val="2F9D4DBD"/>
    <w:rsid w:val="2FF03F3B"/>
    <w:rsid w:val="2FFA4747"/>
    <w:rsid w:val="30042FAD"/>
    <w:rsid w:val="3017391D"/>
    <w:rsid w:val="30555D5A"/>
    <w:rsid w:val="306153F0"/>
    <w:rsid w:val="307275A5"/>
    <w:rsid w:val="30893731"/>
    <w:rsid w:val="309D3C34"/>
    <w:rsid w:val="30B860DB"/>
    <w:rsid w:val="30CD6C9E"/>
    <w:rsid w:val="30D808B2"/>
    <w:rsid w:val="30E05CDF"/>
    <w:rsid w:val="31012C04"/>
    <w:rsid w:val="31064879"/>
    <w:rsid w:val="31121990"/>
    <w:rsid w:val="311C4218"/>
    <w:rsid w:val="311E57A3"/>
    <w:rsid w:val="31436E5A"/>
    <w:rsid w:val="31584683"/>
    <w:rsid w:val="315C76F1"/>
    <w:rsid w:val="3179263A"/>
    <w:rsid w:val="318873D1"/>
    <w:rsid w:val="3198627F"/>
    <w:rsid w:val="31AB1EF5"/>
    <w:rsid w:val="31C74CDD"/>
    <w:rsid w:val="31DF04C5"/>
    <w:rsid w:val="31E87E5B"/>
    <w:rsid w:val="31F75486"/>
    <w:rsid w:val="322A6BDA"/>
    <w:rsid w:val="32370010"/>
    <w:rsid w:val="323F10FE"/>
    <w:rsid w:val="32486728"/>
    <w:rsid w:val="3295408B"/>
    <w:rsid w:val="32A0005D"/>
    <w:rsid w:val="32AB7434"/>
    <w:rsid w:val="32AC3CB0"/>
    <w:rsid w:val="32DA6D7E"/>
    <w:rsid w:val="32F83B93"/>
    <w:rsid w:val="33125AE2"/>
    <w:rsid w:val="33185464"/>
    <w:rsid w:val="3334038E"/>
    <w:rsid w:val="33483B2E"/>
    <w:rsid w:val="335175BB"/>
    <w:rsid w:val="336743E3"/>
    <w:rsid w:val="3391031B"/>
    <w:rsid w:val="339A3939"/>
    <w:rsid w:val="33A51E80"/>
    <w:rsid w:val="33B42A84"/>
    <w:rsid w:val="33D42C7B"/>
    <w:rsid w:val="34000896"/>
    <w:rsid w:val="34014F55"/>
    <w:rsid w:val="34041CE3"/>
    <w:rsid w:val="340748B1"/>
    <w:rsid w:val="340F3BBD"/>
    <w:rsid w:val="341465DD"/>
    <w:rsid w:val="341579FF"/>
    <w:rsid w:val="341F1591"/>
    <w:rsid w:val="343159ED"/>
    <w:rsid w:val="343A70F7"/>
    <w:rsid w:val="343E550A"/>
    <w:rsid w:val="345C39F7"/>
    <w:rsid w:val="34607785"/>
    <w:rsid w:val="346517BC"/>
    <w:rsid w:val="34762022"/>
    <w:rsid w:val="348D3645"/>
    <w:rsid w:val="34957054"/>
    <w:rsid w:val="34974C7D"/>
    <w:rsid w:val="34A64D70"/>
    <w:rsid w:val="34A75960"/>
    <w:rsid w:val="34B51B07"/>
    <w:rsid w:val="34B82A8C"/>
    <w:rsid w:val="34DB19BE"/>
    <w:rsid w:val="34F152D1"/>
    <w:rsid w:val="34FB227B"/>
    <w:rsid w:val="35113B94"/>
    <w:rsid w:val="352933BC"/>
    <w:rsid w:val="354D44A8"/>
    <w:rsid w:val="357755DB"/>
    <w:rsid w:val="359A6901"/>
    <w:rsid w:val="35BA0CA2"/>
    <w:rsid w:val="35BA358A"/>
    <w:rsid w:val="35D61BDE"/>
    <w:rsid w:val="35FE5CD5"/>
    <w:rsid w:val="362E5F3B"/>
    <w:rsid w:val="363801FD"/>
    <w:rsid w:val="36396B7F"/>
    <w:rsid w:val="36413428"/>
    <w:rsid w:val="364B3C86"/>
    <w:rsid w:val="366F7DE9"/>
    <w:rsid w:val="367E1E93"/>
    <w:rsid w:val="36893B13"/>
    <w:rsid w:val="369F70A9"/>
    <w:rsid w:val="36A622B7"/>
    <w:rsid w:val="36A857BA"/>
    <w:rsid w:val="36B23B4B"/>
    <w:rsid w:val="36D83D8B"/>
    <w:rsid w:val="36DE2411"/>
    <w:rsid w:val="36E807A2"/>
    <w:rsid w:val="36FF03C7"/>
    <w:rsid w:val="370E09E1"/>
    <w:rsid w:val="37505400"/>
    <w:rsid w:val="37691B50"/>
    <w:rsid w:val="37794770"/>
    <w:rsid w:val="378F38DA"/>
    <w:rsid w:val="379326F0"/>
    <w:rsid w:val="37AB1B65"/>
    <w:rsid w:val="37B420B3"/>
    <w:rsid w:val="37BB7AC4"/>
    <w:rsid w:val="37C44C8D"/>
    <w:rsid w:val="37DC278E"/>
    <w:rsid w:val="380F315B"/>
    <w:rsid w:val="38107E28"/>
    <w:rsid w:val="385876FF"/>
    <w:rsid w:val="38594E66"/>
    <w:rsid w:val="385A0A04"/>
    <w:rsid w:val="385D6A19"/>
    <w:rsid w:val="386C4607"/>
    <w:rsid w:val="386D639F"/>
    <w:rsid w:val="387D1A7D"/>
    <w:rsid w:val="38830543"/>
    <w:rsid w:val="38957564"/>
    <w:rsid w:val="389767B2"/>
    <w:rsid w:val="38A432E7"/>
    <w:rsid w:val="38B94EBB"/>
    <w:rsid w:val="38C01ADF"/>
    <w:rsid w:val="38D273C9"/>
    <w:rsid w:val="38DB2257"/>
    <w:rsid w:val="39041477"/>
    <w:rsid w:val="3907659E"/>
    <w:rsid w:val="39106EAD"/>
    <w:rsid w:val="39306392"/>
    <w:rsid w:val="39336168"/>
    <w:rsid w:val="394B380F"/>
    <w:rsid w:val="3952088C"/>
    <w:rsid w:val="39594D23"/>
    <w:rsid w:val="39700832"/>
    <w:rsid w:val="39710A48"/>
    <w:rsid w:val="398F2FFF"/>
    <w:rsid w:val="39A82234"/>
    <w:rsid w:val="39A95929"/>
    <w:rsid w:val="39AE0D81"/>
    <w:rsid w:val="39B0377C"/>
    <w:rsid w:val="39B21345"/>
    <w:rsid w:val="39BD5950"/>
    <w:rsid w:val="39F7069B"/>
    <w:rsid w:val="3A1349D6"/>
    <w:rsid w:val="3A1E0B04"/>
    <w:rsid w:val="3A262258"/>
    <w:rsid w:val="3A270BF4"/>
    <w:rsid w:val="3A2B2E7D"/>
    <w:rsid w:val="3A2E3667"/>
    <w:rsid w:val="3A4F1468"/>
    <w:rsid w:val="3A591E8B"/>
    <w:rsid w:val="3A5978A0"/>
    <w:rsid w:val="3A5B4AFD"/>
    <w:rsid w:val="3A843EB6"/>
    <w:rsid w:val="3AAE7BD3"/>
    <w:rsid w:val="3AC84000"/>
    <w:rsid w:val="3AFE2052"/>
    <w:rsid w:val="3B060262"/>
    <w:rsid w:val="3B093192"/>
    <w:rsid w:val="3B1033C1"/>
    <w:rsid w:val="3B495421"/>
    <w:rsid w:val="3B5725EA"/>
    <w:rsid w:val="3B5847E9"/>
    <w:rsid w:val="3B5C6A72"/>
    <w:rsid w:val="3B744119"/>
    <w:rsid w:val="3B9D0BB8"/>
    <w:rsid w:val="3BA225EF"/>
    <w:rsid w:val="3BB60406"/>
    <w:rsid w:val="3BC52C1E"/>
    <w:rsid w:val="3BDE7FCB"/>
    <w:rsid w:val="3BE865D5"/>
    <w:rsid w:val="3BFC3324"/>
    <w:rsid w:val="3BFC52F7"/>
    <w:rsid w:val="3C4A3CA5"/>
    <w:rsid w:val="3C4D269C"/>
    <w:rsid w:val="3C60501B"/>
    <w:rsid w:val="3C685CAB"/>
    <w:rsid w:val="3C6E7BB4"/>
    <w:rsid w:val="3C7265BA"/>
    <w:rsid w:val="3C731A6E"/>
    <w:rsid w:val="3C790143"/>
    <w:rsid w:val="3C7B6ECA"/>
    <w:rsid w:val="3CE50AF7"/>
    <w:rsid w:val="3D1A35B1"/>
    <w:rsid w:val="3D296784"/>
    <w:rsid w:val="3D363D7A"/>
    <w:rsid w:val="3D442593"/>
    <w:rsid w:val="3D5F4F3E"/>
    <w:rsid w:val="3D6B67D2"/>
    <w:rsid w:val="3D6C56CA"/>
    <w:rsid w:val="3D702C5A"/>
    <w:rsid w:val="3DA2472E"/>
    <w:rsid w:val="3DAC5519"/>
    <w:rsid w:val="3DBB0511"/>
    <w:rsid w:val="3DD73193"/>
    <w:rsid w:val="3DF00CDD"/>
    <w:rsid w:val="3E007798"/>
    <w:rsid w:val="3E236445"/>
    <w:rsid w:val="3E294607"/>
    <w:rsid w:val="3E405D4F"/>
    <w:rsid w:val="3E534490"/>
    <w:rsid w:val="3E6F4549"/>
    <w:rsid w:val="3E74790C"/>
    <w:rsid w:val="3E777D45"/>
    <w:rsid w:val="3E8912B2"/>
    <w:rsid w:val="3EDB2CE7"/>
    <w:rsid w:val="3EF37EB2"/>
    <w:rsid w:val="3EFD36E5"/>
    <w:rsid w:val="3F006868"/>
    <w:rsid w:val="3F3F1BD0"/>
    <w:rsid w:val="3F530871"/>
    <w:rsid w:val="3F8D567F"/>
    <w:rsid w:val="3F9C3751"/>
    <w:rsid w:val="3FAA1280"/>
    <w:rsid w:val="3FAF4D02"/>
    <w:rsid w:val="3FD36E8B"/>
    <w:rsid w:val="3FF638FD"/>
    <w:rsid w:val="3FFC3696"/>
    <w:rsid w:val="4009291E"/>
    <w:rsid w:val="4010617A"/>
    <w:rsid w:val="405D23A8"/>
    <w:rsid w:val="40655236"/>
    <w:rsid w:val="40BA7BA9"/>
    <w:rsid w:val="40D12367"/>
    <w:rsid w:val="40DE3BFB"/>
    <w:rsid w:val="40E56C00"/>
    <w:rsid w:val="40F703FC"/>
    <w:rsid w:val="41130852"/>
    <w:rsid w:val="41251DF1"/>
    <w:rsid w:val="41781173"/>
    <w:rsid w:val="418A34F9"/>
    <w:rsid w:val="41B96BE3"/>
    <w:rsid w:val="41C0096A"/>
    <w:rsid w:val="41D07A8D"/>
    <w:rsid w:val="41DC5730"/>
    <w:rsid w:val="41E81B2F"/>
    <w:rsid w:val="41F10240"/>
    <w:rsid w:val="420F3F6D"/>
    <w:rsid w:val="424B3DD2"/>
    <w:rsid w:val="42565831"/>
    <w:rsid w:val="426601FF"/>
    <w:rsid w:val="42726210"/>
    <w:rsid w:val="427B3D8A"/>
    <w:rsid w:val="428F35C1"/>
    <w:rsid w:val="42972BCC"/>
    <w:rsid w:val="429E375C"/>
    <w:rsid w:val="42A41388"/>
    <w:rsid w:val="42B9563E"/>
    <w:rsid w:val="42BC350C"/>
    <w:rsid w:val="42C30598"/>
    <w:rsid w:val="42E020C7"/>
    <w:rsid w:val="42F609E7"/>
    <w:rsid w:val="4330314B"/>
    <w:rsid w:val="43372AD6"/>
    <w:rsid w:val="43374101"/>
    <w:rsid w:val="433A000D"/>
    <w:rsid w:val="434700C3"/>
    <w:rsid w:val="43727D1C"/>
    <w:rsid w:val="43823E4F"/>
    <w:rsid w:val="43A22185"/>
    <w:rsid w:val="43B84329"/>
    <w:rsid w:val="43D16A31"/>
    <w:rsid w:val="43E94AF8"/>
    <w:rsid w:val="43EE6A01"/>
    <w:rsid w:val="43FF6C9B"/>
    <w:rsid w:val="44094EBE"/>
    <w:rsid w:val="440E177A"/>
    <w:rsid w:val="442B2FE3"/>
    <w:rsid w:val="443A431D"/>
    <w:rsid w:val="444F0D90"/>
    <w:rsid w:val="44513222"/>
    <w:rsid w:val="445C3F1A"/>
    <w:rsid w:val="44660961"/>
    <w:rsid w:val="446A6C18"/>
    <w:rsid w:val="44771212"/>
    <w:rsid w:val="447D2DED"/>
    <w:rsid w:val="44911A8D"/>
    <w:rsid w:val="44B14D0F"/>
    <w:rsid w:val="44C1237E"/>
    <w:rsid w:val="44CA2EEC"/>
    <w:rsid w:val="44CE0317"/>
    <w:rsid w:val="44D160AE"/>
    <w:rsid w:val="44EE0B22"/>
    <w:rsid w:val="44FC3FE7"/>
    <w:rsid w:val="45101464"/>
    <w:rsid w:val="4511451C"/>
    <w:rsid w:val="451727FF"/>
    <w:rsid w:val="451D6ED2"/>
    <w:rsid w:val="45265E45"/>
    <w:rsid w:val="452A6789"/>
    <w:rsid w:val="45341296"/>
    <w:rsid w:val="45451BA3"/>
    <w:rsid w:val="455475CD"/>
    <w:rsid w:val="45A63B54"/>
    <w:rsid w:val="45BF4E35"/>
    <w:rsid w:val="45C17783"/>
    <w:rsid w:val="45D50E20"/>
    <w:rsid w:val="45F169C2"/>
    <w:rsid w:val="45F536D4"/>
    <w:rsid w:val="463D754A"/>
    <w:rsid w:val="465B237E"/>
    <w:rsid w:val="46783EAC"/>
    <w:rsid w:val="46B2212C"/>
    <w:rsid w:val="46B34E6C"/>
    <w:rsid w:val="46CC14E3"/>
    <w:rsid w:val="46F41277"/>
    <w:rsid w:val="46F674B3"/>
    <w:rsid w:val="47265B39"/>
    <w:rsid w:val="47636527"/>
    <w:rsid w:val="479010F6"/>
    <w:rsid w:val="47A6109B"/>
    <w:rsid w:val="47B63534"/>
    <w:rsid w:val="48043633"/>
    <w:rsid w:val="480740F2"/>
    <w:rsid w:val="48086251"/>
    <w:rsid w:val="4826706B"/>
    <w:rsid w:val="485D4FC6"/>
    <w:rsid w:val="48806C1A"/>
    <w:rsid w:val="488938C2"/>
    <w:rsid w:val="48913862"/>
    <w:rsid w:val="48A20EC3"/>
    <w:rsid w:val="48AE4357"/>
    <w:rsid w:val="48D6720F"/>
    <w:rsid w:val="48E155A0"/>
    <w:rsid w:val="492F4DE4"/>
    <w:rsid w:val="494611E5"/>
    <w:rsid w:val="494C7FCB"/>
    <w:rsid w:val="49680C65"/>
    <w:rsid w:val="497E0D61"/>
    <w:rsid w:val="498044D7"/>
    <w:rsid w:val="498502AC"/>
    <w:rsid w:val="499D11D6"/>
    <w:rsid w:val="49A21355"/>
    <w:rsid w:val="49C1268F"/>
    <w:rsid w:val="49E137D8"/>
    <w:rsid w:val="49E56CC9"/>
    <w:rsid w:val="49E97FD0"/>
    <w:rsid w:val="4A111487"/>
    <w:rsid w:val="4A146453"/>
    <w:rsid w:val="4A215668"/>
    <w:rsid w:val="4A2A683B"/>
    <w:rsid w:val="4A397DC3"/>
    <w:rsid w:val="4A3B0C1C"/>
    <w:rsid w:val="4A4A208A"/>
    <w:rsid w:val="4A4C3E27"/>
    <w:rsid w:val="4A525BB2"/>
    <w:rsid w:val="4A6862A9"/>
    <w:rsid w:val="4A6C26C7"/>
    <w:rsid w:val="4A7F186A"/>
    <w:rsid w:val="4A963F66"/>
    <w:rsid w:val="4AA4161C"/>
    <w:rsid w:val="4AC779BE"/>
    <w:rsid w:val="4AD01884"/>
    <w:rsid w:val="4AFC1F31"/>
    <w:rsid w:val="4B010E98"/>
    <w:rsid w:val="4B041EE3"/>
    <w:rsid w:val="4B090464"/>
    <w:rsid w:val="4B0B69C4"/>
    <w:rsid w:val="4B15132F"/>
    <w:rsid w:val="4B213550"/>
    <w:rsid w:val="4B321807"/>
    <w:rsid w:val="4B346CEE"/>
    <w:rsid w:val="4B367C72"/>
    <w:rsid w:val="4B3E0902"/>
    <w:rsid w:val="4B6A7FD5"/>
    <w:rsid w:val="4B6F6E49"/>
    <w:rsid w:val="4B700F7B"/>
    <w:rsid w:val="4B91290A"/>
    <w:rsid w:val="4BA402A6"/>
    <w:rsid w:val="4BBB5CCD"/>
    <w:rsid w:val="4BC26A0D"/>
    <w:rsid w:val="4BE56B11"/>
    <w:rsid w:val="4BEC718C"/>
    <w:rsid w:val="4BED77A1"/>
    <w:rsid w:val="4BF66F62"/>
    <w:rsid w:val="4BFC10E7"/>
    <w:rsid w:val="4C1F0B2E"/>
    <w:rsid w:val="4C285E44"/>
    <w:rsid w:val="4C3C7520"/>
    <w:rsid w:val="4C472196"/>
    <w:rsid w:val="4C7071CC"/>
    <w:rsid w:val="4C9246AB"/>
    <w:rsid w:val="4CA868D5"/>
    <w:rsid w:val="4CB052E1"/>
    <w:rsid w:val="4CBA3672"/>
    <w:rsid w:val="4CC3380E"/>
    <w:rsid w:val="4CCD53A8"/>
    <w:rsid w:val="4CDB5DA5"/>
    <w:rsid w:val="4CEF6B2A"/>
    <w:rsid w:val="4D1B5F7C"/>
    <w:rsid w:val="4D1D0AC5"/>
    <w:rsid w:val="4D3B1641"/>
    <w:rsid w:val="4D421030"/>
    <w:rsid w:val="4D461910"/>
    <w:rsid w:val="4D463256"/>
    <w:rsid w:val="4D524AEA"/>
    <w:rsid w:val="4D881740"/>
    <w:rsid w:val="4DA50490"/>
    <w:rsid w:val="4DAF113E"/>
    <w:rsid w:val="4DC344B4"/>
    <w:rsid w:val="4DDC61A4"/>
    <w:rsid w:val="4DFF01DA"/>
    <w:rsid w:val="4E0639C0"/>
    <w:rsid w:val="4E0D11DB"/>
    <w:rsid w:val="4E2912CA"/>
    <w:rsid w:val="4E2A7236"/>
    <w:rsid w:val="4E514A0D"/>
    <w:rsid w:val="4E52468C"/>
    <w:rsid w:val="4E5C3732"/>
    <w:rsid w:val="4E656C20"/>
    <w:rsid w:val="4E91496A"/>
    <w:rsid w:val="4EA0220D"/>
    <w:rsid w:val="4EAB1A9A"/>
    <w:rsid w:val="4EAF4F2E"/>
    <w:rsid w:val="4EC71B04"/>
    <w:rsid w:val="4EC77ECE"/>
    <w:rsid w:val="4EE07773"/>
    <w:rsid w:val="4EE51E06"/>
    <w:rsid w:val="4EE90083"/>
    <w:rsid w:val="4EF9611F"/>
    <w:rsid w:val="4F0A0B7D"/>
    <w:rsid w:val="4F3B1580"/>
    <w:rsid w:val="4F406BF2"/>
    <w:rsid w:val="4F52422F"/>
    <w:rsid w:val="4F6261F3"/>
    <w:rsid w:val="4F660E4F"/>
    <w:rsid w:val="4F963A1F"/>
    <w:rsid w:val="4FA078CF"/>
    <w:rsid w:val="4FB978F3"/>
    <w:rsid w:val="4FD2687A"/>
    <w:rsid w:val="4FFE3746"/>
    <w:rsid w:val="501320EF"/>
    <w:rsid w:val="50334BA2"/>
    <w:rsid w:val="504D156B"/>
    <w:rsid w:val="5060129E"/>
    <w:rsid w:val="506A1A77"/>
    <w:rsid w:val="50723797"/>
    <w:rsid w:val="5074560B"/>
    <w:rsid w:val="50794B27"/>
    <w:rsid w:val="50866509"/>
    <w:rsid w:val="50897B2F"/>
    <w:rsid w:val="509B22D6"/>
    <w:rsid w:val="509F24D8"/>
    <w:rsid w:val="50B52956"/>
    <w:rsid w:val="50B909AE"/>
    <w:rsid w:val="50E25C3F"/>
    <w:rsid w:val="50F007D8"/>
    <w:rsid w:val="510C32F8"/>
    <w:rsid w:val="513B2C5D"/>
    <w:rsid w:val="514B6024"/>
    <w:rsid w:val="518327AE"/>
    <w:rsid w:val="51956D68"/>
    <w:rsid w:val="51AE408E"/>
    <w:rsid w:val="51B64D1E"/>
    <w:rsid w:val="51B977CF"/>
    <w:rsid w:val="51C549BC"/>
    <w:rsid w:val="51D71203"/>
    <w:rsid w:val="51E3629C"/>
    <w:rsid w:val="51F27101"/>
    <w:rsid w:val="51F85787"/>
    <w:rsid w:val="52210B4A"/>
    <w:rsid w:val="52295601"/>
    <w:rsid w:val="5247030A"/>
    <w:rsid w:val="524A1D0E"/>
    <w:rsid w:val="52677F6F"/>
    <w:rsid w:val="526B7CC5"/>
    <w:rsid w:val="527C37E2"/>
    <w:rsid w:val="52842DED"/>
    <w:rsid w:val="529D3D17"/>
    <w:rsid w:val="529F07F0"/>
    <w:rsid w:val="52AA68B0"/>
    <w:rsid w:val="52AE6001"/>
    <w:rsid w:val="52C02ACF"/>
    <w:rsid w:val="52C77CDF"/>
    <w:rsid w:val="52EB1898"/>
    <w:rsid w:val="52F4797A"/>
    <w:rsid w:val="53036F3E"/>
    <w:rsid w:val="531A7FEC"/>
    <w:rsid w:val="53201F48"/>
    <w:rsid w:val="534725AE"/>
    <w:rsid w:val="534C6959"/>
    <w:rsid w:val="53625879"/>
    <w:rsid w:val="537F3AF6"/>
    <w:rsid w:val="538865A6"/>
    <w:rsid w:val="53AA5E8F"/>
    <w:rsid w:val="53DE59A8"/>
    <w:rsid w:val="53E85185"/>
    <w:rsid w:val="54190C8F"/>
    <w:rsid w:val="5419780A"/>
    <w:rsid w:val="54342B34"/>
    <w:rsid w:val="543505B5"/>
    <w:rsid w:val="544C3A5E"/>
    <w:rsid w:val="544D14DF"/>
    <w:rsid w:val="54784522"/>
    <w:rsid w:val="54A238AF"/>
    <w:rsid w:val="54CE6A7B"/>
    <w:rsid w:val="54DD7AC9"/>
    <w:rsid w:val="54ED44E0"/>
    <w:rsid w:val="54ED7D64"/>
    <w:rsid w:val="551C3E94"/>
    <w:rsid w:val="5524243C"/>
    <w:rsid w:val="554B5B7F"/>
    <w:rsid w:val="55762246"/>
    <w:rsid w:val="559417F6"/>
    <w:rsid w:val="55964CF9"/>
    <w:rsid w:val="55C1287F"/>
    <w:rsid w:val="55D83684"/>
    <w:rsid w:val="55DC016A"/>
    <w:rsid w:val="55FB63DF"/>
    <w:rsid w:val="560C01BB"/>
    <w:rsid w:val="56153049"/>
    <w:rsid w:val="561D0456"/>
    <w:rsid w:val="562D0041"/>
    <w:rsid w:val="564E2E48"/>
    <w:rsid w:val="56513D7F"/>
    <w:rsid w:val="56794642"/>
    <w:rsid w:val="56C40FAE"/>
    <w:rsid w:val="56C479B1"/>
    <w:rsid w:val="56D36C29"/>
    <w:rsid w:val="56D9408C"/>
    <w:rsid w:val="56DA628A"/>
    <w:rsid w:val="56F34C36"/>
    <w:rsid w:val="574E4823"/>
    <w:rsid w:val="57581193"/>
    <w:rsid w:val="57612F08"/>
    <w:rsid w:val="57781E36"/>
    <w:rsid w:val="577D1316"/>
    <w:rsid w:val="577E5E4F"/>
    <w:rsid w:val="578D15B1"/>
    <w:rsid w:val="57936218"/>
    <w:rsid w:val="57936D3D"/>
    <w:rsid w:val="579C139C"/>
    <w:rsid w:val="57BE68AA"/>
    <w:rsid w:val="57C65F53"/>
    <w:rsid w:val="57EC3AD5"/>
    <w:rsid w:val="580216CC"/>
    <w:rsid w:val="580759F7"/>
    <w:rsid w:val="58121C3F"/>
    <w:rsid w:val="58513F4A"/>
    <w:rsid w:val="586F4122"/>
    <w:rsid w:val="588856AA"/>
    <w:rsid w:val="588B008E"/>
    <w:rsid w:val="58B07C24"/>
    <w:rsid w:val="58C23E57"/>
    <w:rsid w:val="58C70034"/>
    <w:rsid w:val="58DC63D1"/>
    <w:rsid w:val="58EE0B31"/>
    <w:rsid w:val="59070E1D"/>
    <w:rsid w:val="590C4A7A"/>
    <w:rsid w:val="59424933"/>
    <w:rsid w:val="59463887"/>
    <w:rsid w:val="595F57D8"/>
    <w:rsid w:val="5963582A"/>
    <w:rsid w:val="59654A34"/>
    <w:rsid w:val="596F2552"/>
    <w:rsid w:val="59820767"/>
    <w:rsid w:val="59865C63"/>
    <w:rsid w:val="59A92BA5"/>
    <w:rsid w:val="59B32E2D"/>
    <w:rsid w:val="59B93C23"/>
    <w:rsid w:val="59BF6423"/>
    <w:rsid w:val="59E85AEA"/>
    <w:rsid w:val="59EE5E90"/>
    <w:rsid w:val="5A1225D4"/>
    <w:rsid w:val="5A22286F"/>
    <w:rsid w:val="5A392494"/>
    <w:rsid w:val="5A482AAE"/>
    <w:rsid w:val="5A5064FC"/>
    <w:rsid w:val="5A7E198B"/>
    <w:rsid w:val="5A8B6A1B"/>
    <w:rsid w:val="5A984573"/>
    <w:rsid w:val="5AA9087C"/>
    <w:rsid w:val="5AAD35CB"/>
    <w:rsid w:val="5AC07E89"/>
    <w:rsid w:val="5AC67AF9"/>
    <w:rsid w:val="5AE32B59"/>
    <w:rsid w:val="5AEC7D39"/>
    <w:rsid w:val="5AF9189A"/>
    <w:rsid w:val="5B0C026E"/>
    <w:rsid w:val="5B0C2972"/>
    <w:rsid w:val="5B14614A"/>
    <w:rsid w:val="5B237E93"/>
    <w:rsid w:val="5B3203DE"/>
    <w:rsid w:val="5B376D64"/>
    <w:rsid w:val="5B387AB8"/>
    <w:rsid w:val="5B427BE2"/>
    <w:rsid w:val="5B680292"/>
    <w:rsid w:val="5B6B6089"/>
    <w:rsid w:val="5B797C67"/>
    <w:rsid w:val="5B8B7D91"/>
    <w:rsid w:val="5BA629EB"/>
    <w:rsid w:val="5BB15754"/>
    <w:rsid w:val="5BDF2BA2"/>
    <w:rsid w:val="5BFA4B6C"/>
    <w:rsid w:val="5C0B238F"/>
    <w:rsid w:val="5C1111E2"/>
    <w:rsid w:val="5C1D53F8"/>
    <w:rsid w:val="5C1E7567"/>
    <w:rsid w:val="5C250E3D"/>
    <w:rsid w:val="5C343553"/>
    <w:rsid w:val="5C57280E"/>
    <w:rsid w:val="5C751DBE"/>
    <w:rsid w:val="5C867534"/>
    <w:rsid w:val="5CBF4576"/>
    <w:rsid w:val="5CD01DAF"/>
    <w:rsid w:val="5CDC1535"/>
    <w:rsid w:val="5D041C0D"/>
    <w:rsid w:val="5D0F1FBD"/>
    <w:rsid w:val="5D484375"/>
    <w:rsid w:val="5D586054"/>
    <w:rsid w:val="5D632120"/>
    <w:rsid w:val="5D8A0DF9"/>
    <w:rsid w:val="5DA1152C"/>
    <w:rsid w:val="5DA2372A"/>
    <w:rsid w:val="5DA7086F"/>
    <w:rsid w:val="5DAB4899"/>
    <w:rsid w:val="5DB77131"/>
    <w:rsid w:val="5DBC7B57"/>
    <w:rsid w:val="5DC103CE"/>
    <w:rsid w:val="5DC91E25"/>
    <w:rsid w:val="5DD246C7"/>
    <w:rsid w:val="5DE96DE5"/>
    <w:rsid w:val="5DEC06A6"/>
    <w:rsid w:val="5DF26DF4"/>
    <w:rsid w:val="5E121C95"/>
    <w:rsid w:val="5E1C2B0B"/>
    <w:rsid w:val="5E204634"/>
    <w:rsid w:val="5E2B5C0D"/>
    <w:rsid w:val="5E3B2275"/>
    <w:rsid w:val="5E483B98"/>
    <w:rsid w:val="5E6A2A34"/>
    <w:rsid w:val="5E6B69F6"/>
    <w:rsid w:val="5E736001"/>
    <w:rsid w:val="5E796A43"/>
    <w:rsid w:val="5E8E330D"/>
    <w:rsid w:val="5E9762C2"/>
    <w:rsid w:val="5E997A50"/>
    <w:rsid w:val="5EA842DD"/>
    <w:rsid w:val="5EBE7A55"/>
    <w:rsid w:val="5EBF067F"/>
    <w:rsid w:val="5ED2189E"/>
    <w:rsid w:val="5F060DF3"/>
    <w:rsid w:val="5F080F7F"/>
    <w:rsid w:val="5F1351B1"/>
    <w:rsid w:val="5F6B58BD"/>
    <w:rsid w:val="5F796DB8"/>
    <w:rsid w:val="5F860448"/>
    <w:rsid w:val="5F933EDA"/>
    <w:rsid w:val="5FA12FAA"/>
    <w:rsid w:val="5FCD2ADA"/>
    <w:rsid w:val="5FE50461"/>
    <w:rsid w:val="5FF506FB"/>
    <w:rsid w:val="60056797"/>
    <w:rsid w:val="603C0E70"/>
    <w:rsid w:val="604B148A"/>
    <w:rsid w:val="605B1725"/>
    <w:rsid w:val="605B48A0"/>
    <w:rsid w:val="605F2329"/>
    <w:rsid w:val="6072623A"/>
    <w:rsid w:val="607F7DFE"/>
    <w:rsid w:val="60890F6F"/>
    <w:rsid w:val="608F2E78"/>
    <w:rsid w:val="60A2266D"/>
    <w:rsid w:val="60B7403D"/>
    <w:rsid w:val="60D76115"/>
    <w:rsid w:val="60E244F6"/>
    <w:rsid w:val="6105633A"/>
    <w:rsid w:val="610D3747"/>
    <w:rsid w:val="610F16AF"/>
    <w:rsid w:val="611E4CE6"/>
    <w:rsid w:val="6124336C"/>
    <w:rsid w:val="6128097C"/>
    <w:rsid w:val="612F4F80"/>
    <w:rsid w:val="6143039D"/>
    <w:rsid w:val="614571DA"/>
    <w:rsid w:val="615C03D9"/>
    <w:rsid w:val="618157F8"/>
    <w:rsid w:val="61836C08"/>
    <w:rsid w:val="61890D4D"/>
    <w:rsid w:val="61BF3477"/>
    <w:rsid w:val="61D14789"/>
    <w:rsid w:val="61D701A7"/>
    <w:rsid w:val="61DE64C6"/>
    <w:rsid w:val="62054AF4"/>
    <w:rsid w:val="622D7DB2"/>
    <w:rsid w:val="62467FCB"/>
    <w:rsid w:val="624A5B08"/>
    <w:rsid w:val="625646EB"/>
    <w:rsid w:val="6264149D"/>
    <w:rsid w:val="627043B9"/>
    <w:rsid w:val="62D3168C"/>
    <w:rsid w:val="6305224F"/>
    <w:rsid w:val="63053881"/>
    <w:rsid w:val="63092A34"/>
    <w:rsid w:val="63104A45"/>
    <w:rsid w:val="63313543"/>
    <w:rsid w:val="633D0518"/>
    <w:rsid w:val="63413643"/>
    <w:rsid w:val="63436BE9"/>
    <w:rsid w:val="634C61F4"/>
    <w:rsid w:val="634E25FF"/>
    <w:rsid w:val="63623C1B"/>
    <w:rsid w:val="63872B56"/>
    <w:rsid w:val="6389404E"/>
    <w:rsid w:val="638B21A9"/>
    <w:rsid w:val="63B2121A"/>
    <w:rsid w:val="63B636A5"/>
    <w:rsid w:val="63CC398B"/>
    <w:rsid w:val="63DC408A"/>
    <w:rsid w:val="63F40F8B"/>
    <w:rsid w:val="63F6668D"/>
    <w:rsid w:val="63F80191"/>
    <w:rsid w:val="64562A66"/>
    <w:rsid w:val="645779AB"/>
    <w:rsid w:val="648F2BF5"/>
    <w:rsid w:val="649C04A0"/>
    <w:rsid w:val="64AB4917"/>
    <w:rsid w:val="64AE5E3B"/>
    <w:rsid w:val="64BD2BD3"/>
    <w:rsid w:val="64C4001D"/>
    <w:rsid w:val="64DE698B"/>
    <w:rsid w:val="64E11B0D"/>
    <w:rsid w:val="64FB725D"/>
    <w:rsid w:val="652109E8"/>
    <w:rsid w:val="65262602"/>
    <w:rsid w:val="652A1008"/>
    <w:rsid w:val="65312B91"/>
    <w:rsid w:val="65441BB2"/>
    <w:rsid w:val="65545252"/>
    <w:rsid w:val="656D2D76"/>
    <w:rsid w:val="65837118"/>
    <w:rsid w:val="658D431E"/>
    <w:rsid w:val="658F73C8"/>
    <w:rsid w:val="65B57D4C"/>
    <w:rsid w:val="65CA3E82"/>
    <w:rsid w:val="65E90142"/>
    <w:rsid w:val="65F870D7"/>
    <w:rsid w:val="66085533"/>
    <w:rsid w:val="66286A0E"/>
    <w:rsid w:val="66464C58"/>
    <w:rsid w:val="665106D6"/>
    <w:rsid w:val="66693F13"/>
    <w:rsid w:val="6686639B"/>
    <w:rsid w:val="66911854"/>
    <w:rsid w:val="66BD1842"/>
    <w:rsid w:val="66E9417E"/>
    <w:rsid w:val="67220F44"/>
    <w:rsid w:val="67375865"/>
    <w:rsid w:val="67432C12"/>
    <w:rsid w:val="674E548A"/>
    <w:rsid w:val="67920F6D"/>
    <w:rsid w:val="679E650E"/>
    <w:rsid w:val="67B46E9D"/>
    <w:rsid w:val="67B66EC0"/>
    <w:rsid w:val="67C750E8"/>
    <w:rsid w:val="67C95196"/>
    <w:rsid w:val="67CF6CDD"/>
    <w:rsid w:val="67D469E8"/>
    <w:rsid w:val="67EF5CAC"/>
    <w:rsid w:val="67F67EE5"/>
    <w:rsid w:val="67FA254F"/>
    <w:rsid w:val="67FE782C"/>
    <w:rsid w:val="681F7B74"/>
    <w:rsid w:val="68334A03"/>
    <w:rsid w:val="68400296"/>
    <w:rsid w:val="685A7ADF"/>
    <w:rsid w:val="68676448"/>
    <w:rsid w:val="68706867"/>
    <w:rsid w:val="689939C8"/>
    <w:rsid w:val="68DB5F16"/>
    <w:rsid w:val="68F22276"/>
    <w:rsid w:val="691B26A9"/>
    <w:rsid w:val="69261997"/>
    <w:rsid w:val="69432F0E"/>
    <w:rsid w:val="69967147"/>
    <w:rsid w:val="69C972D2"/>
    <w:rsid w:val="69D20350"/>
    <w:rsid w:val="69F134E0"/>
    <w:rsid w:val="6A19339F"/>
    <w:rsid w:val="6A3C265A"/>
    <w:rsid w:val="6A3C40C0"/>
    <w:rsid w:val="6A406AE2"/>
    <w:rsid w:val="6A4744AF"/>
    <w:rsid w:val="6A4B4E73"/>
    <w:rsid w:val="6A9745ED"/>
    <w:rsid w:val="6AD12B4E"/>
    <w:rsid w:val="6AF7052B"/>
    <w:rsid w:val="6B0016D2"/>
    <w:rsid w:val="6B195FEA"/>
    <w:rsid w:val="6B213BD1"/>
    <w:rsid w:val="6B2B3CBC"/>
    <w:rsid w:val="6B3F3181"/>
    <w:rsid w:val="6B410883"/>
    <w:rsid w:val="6B4F43C3"/>
    <w:rsid w:val="6B762159"/>
    <w:rsid w:val="6B776B5F"/>
    <w:rsid w:val="6B843B2B"/>
    <w:rsid w:val="6B992596"/>
    <w:rsid w:val="6BA6524B"/>
    <w:rsid w:val="6BA718AC"/>
    <w:rsid w:val="6BAE41D3"/>
    <w:rsid w:val="6BB041CB"/>
    <w:rsid w:val="6BCC7A20"/>
    <w:rsid w:val="6BD126F0"/>
    <w:rsid w:val="6BEF0089"/>
    <w:rsid w:val="6BF638A1"/>
    <w:rsid w:val="6C17795C"/>
    <w:rsid w:val="6C1C27D3"/>
    <w:rsid w:val="6C2D5008"/>
    <w:rsid w:val="6C5669BD"/>
    <w:rsid w:val="6C9356D5"/>
    <w:rsid w:val="6CA46D97"/>
    <w:rsid w:val="6CB7468C"/>
    <w:rsid w:val="6CE74794"/>
    <w:rsid w:val="6D0417E8"/>
    <w:rsid w:val="6D12441E"/>
    <w:rsid w:val="6D2B74AA"/>
    <w:rsid w:val="6D2E262D"/>
    <w:rsid w:val="6D34755E"/>
    <w:rsid w:val="6D3862EE"/>
    <w:rsid w:val="6D5C39B1"/>
    <w:rsid w:val="6D5D56FA"/>
    <w:rsid w:val="6D6D06FE"/>
    <w:rsid w:val="6D71789D"/>
    <w:rsid w:val="6D783D26"/>
    <w:rsid w:val="6D7F3300"/>
    <w:rsid w:val="6D8C2099"/>
    <w:rsid w:val="6D8E5EC9"/>
    <w:rsid w:val="6DA01667"/>
    <w:rsid w:val="6DC82EFB"/>
    <w:rsid w:val="6DD51EC1"/>
    <w:rsid w:val="6DE25953"/>
    <w:rsid w:val="6DF70B9F"/>
    <w:rsid w:val="6E025E88"/>
    <w:rsid w:val="6E0F0E56"/>
    <w:rsid w:val="6E3F0270"/>
    <w:rsid w:val="6E45189B"/>
    <w:rsid w:val="6E5B6A44"/>
    <w:rsid w:val="6E5D034D"/>
    <w:rsid w:val="6E686EB1"/>
    <w:rsid w:val="6E694933"/>
    <w:rsid w:val="6E732C7D"/>
    <w:rsid w:val="6EA57BF2"/>
    <w:rsid w:val="6EA64798"/>
    <w:rsid w:val="6EB45CAC"/>
    <w:rsid w:val="6EBB0EBA"/>
    <w:rsid w:val="6F173FD5"/>
    <w:rsid w:val="6F2069ED"/>
    <w:rsid w:val="6F254CE6"/>
    <w:rsid w:val="6F391788"/>
    <w:rsid w:val="6F6D4C84"/>
    <w:rsid w:val="6F86515A"/>
    <w:rsid w:val="6F881E6D"/>
    <w:rsid w:val="6F9013D6"/>
    <w:rsid w:val="6F985025"/>
    <w:rsid w:val="6FA911B8"/>
    <w:rsid w:val="6FD467CC"/>
    <w:rsid w:val="6FED1473"/>
    <w:rsid w:val="6FF458BA"/>
    <w:rsid w:val="6FF82AC0"/>
    <w:rsid w:val="7000585A"/>
    <w:rsid w:val="702D037F"/>
    <w:rsid w:val="703A09BA"/>
    <w:rsid w:val="70641085"/>
    <w:rsid w:val="707A5120"/>
    <w:rsid w:val="708E6837"/>
    <w:rsid w:val="70905166"/>
    <w:rsid w:val="70B90980"/>
    <w:rsid w:val="70C50F0F"/>
    <w:rsid w:val="70E65322"/>
    <w:rsid w:val="70EE5254"/>
    <w:rsid w:val="70F07074"/>
    <w:rsid w:val="710B015B"/>
    <w:rsid w:val="711E28A2"/>
    <w:rsid w:val="71303E41"/>
    <w:rsid w:val="71316743"/>
    <w:rsid w:val="714D0321"/>
    <w:rsid w:val="715705F8"/>
    <w:rsid w:val="715A79B6"/>
    <w:rsid w:val="717A7739"/>
    <w:rsid w:val="71BA237C"/>
    <w:rsid w:val="71CC3CC0"/>
    <w:rsid w:val="71EA0CF1"/>
    <w:rsid w:val="71F46D42"/>
    <w:rsid w:val="720418D9"/>
    <w:rsid w:val="7221183F"/>
    <w:rsid w:val="72222A5D"/>
    <w:rsid w:val="722D230E"/>
    <w:rsid w:val="72450106"/>
    <w:rsid w:val="72503AC8"/>
    <w:rsid w:val="727703F2"/>
    <w:rsid w:val="729809FB"/>
    <w:rsid w:val="72AC21EE"/>
    <w:rsid w:val="72C32124"/>
    <w:rsid w:val="72CF47E7"/>
    <w:rsid w:val="72F44A27"/>
    <w:rsid w:val="730C20CE"/>
    <w:rsid w:val="73114357"/>
    <w:rsid w:val="733C759B"/>
    <w:rsid w:val="73573FBF"/>
    <w:rsid w:val="736312B3"/>
    <w:rsid w:val="73686F64"/>
    <w:rsid w:val="737871FE"/>
    <w:rsid w:val="737A608E"/>
    <w:rsid w:val="739F17A6"/>
    <w:rsid w:val="73A41347"/>
    <w:rsid w:val="73B741F6"/>
    <w:rsid w:val="73BE4DC4"/>
    <w:rsid w:val="73DB677D"/>
    <w:rsid w:val="74157352"/>
    <w:rsid w:val="741E0146"/>
    <w:rsid w:val="743F6FC7"/>
    <w:rsid w:val="744B1026"/>
    <w:rsid w:val="744F40FB"/>
    <w:rsid w:val="74561E78"/>
    <w:rsid w:val="74572B94"/>
    <w:rsid w:val="74624BFD"/>
    <w:rsid w:val="74653984"/>
    <w:rsid w:val="746F1D15"/>
    <w:rsid w:val="747A2F56"/>
    <w:rsid w:val="748A17AE"/>
    <w:rsid w:val="748D5077"/>
    <w:rsid w:val="74925863"/>
    <w:rsid w:val="74B37A0A"/>
    <w:rsid w:val="74BC4419"/>
    <w:rsid w:val="74C17FFB"/>
    <w:rsid w:val="750910CA"/>
    <w:rsid w:val="75302601"/>
    <w:rsid w:val="753B6844"/>
    <w:rsid w:val="754167EA"/>
    <w:rsid w:val="75546A49"/>
    <w:rsid w:val="755C1135"/>
    <w:rsid w:val="759F4605"/>
    <w:rsid w:val="75DA0F67"/>
    <w:rsid w:val="75DD6FE8"/>
    <w:rsid w:val="75EF2888"/>
    <w:rsid w:val="760876C3"/>
    <w:rsid w:val="76096233"/>
    <w:rsid w:val="7639638C"/>
    <w:rsid w:val="763D5388"/>
    <w:rsid w:val="76411C10"/>
    <w:rsid w:val="764B30A7"/>
    <w:rsid w:val="765516E8"/>
    <w:rsid w:val="76574B8F"/>
    <w:rsid w:val="76746D49"/>
    <w:rsid w:val="767720EA"/>
    <w:rsid w:val="7685658D"/>
    <w:rsid w:val="76BA6056"/>
    <w:rsid w:val="76CB4684"/>
    <w:rsid w:val="76D02779"/>
    <w:rsid w:val="76D46C00"/>
    <w:rsid w:val="77073F57"/>
    <w:rsid w:val="770B3E4C"/>
    <w:rsid w:val="7729410C"/>
    <w:rsid w:val="7731164B"/>
    <w:rsid w:val="77320CA7"/>
    <w:rsid w:val="7744207A"/>
    <w:rsid w:val="77556255"/>
    <w:rsid w:val="775D6EE5"/>
    <w:rsid w:val="7761145A"/>
    <w:rsid w:val="776677F4"/>
    <w:rsid w:val="777A0E91"/>
    <w:rsid w:val="777D7419"/>
    <w:rsid w:val="77835A9F"/>
    <w:rsid w:val="779D6649"/>
    <w:rsid w:val="779F22FC"/>
    <w:rsid w:val="77B83C9A"/>
    <w:rsid w:val="77EA17B7"/>
    <w:rsid w:val="78102539"/>
    <w:rsid w:val="784400DC"/>
    <w:rsid w:val="784E7904"/>
    <w:rsid w:val="785F26D6"/>
    <w:rsid w:val="787403D8"/>
    <w:rsid w:val="789E786A"/>
    <w:rsid w:val="78CD25BE"/>
    <w:rsid w:val="78E36B81"/>
    <w:rsid w:val="78E55F35"/>
    <w:rsid w:val="790849A2"/>
    <w:rsid w:val="79287986"/>
    <w:rsid w:val="79293373"/>
    <w:rsid w:val="79300FDE"/>
    <w:rsid w:val="796E2148"/>
    <w:rsid w:val="798C38F6"/>
    <w:rsid w:val="798D2610"/>
    <w:rsid w:val="798E267C"/>
    <w:rsid w:val="79924B49"/>
    <w:rsid w:val="799B3F11"/>
    <w:rsid w:val="79C1634F"/>
    <w:rsid w:val="79D23CBE"/>
    <w:rsid w:val="79D939F5"/>
    <w:rsid w:val="79FD4EAF"/>
    <w:rsid w:val="7A017138"/>
    <w:rsid w:val="7A260E16"/>
    <w:rsid w:val="7A397B3B"/>
    <w:rsid w:val="7A3F4B08"/>
    <w:rsid w:val="7A550DC0"/>
    <w:rsid w:val="7A5D178A"/>
    <w:rsid w:val="7A83703F"/>
    <w:rsid w:val="7A9B3AB3"/>
    <w:rsid w:val="7A9F7D20"/>
    <w:rsid w:val="7AB35F1D"/>
    <w:rsid w:val="7ABB4647"/>
    <w:rsid w:val="7AC67AA6"/>
    <w:rsid w:val="7AC96B81"/>
    <w:rsid w:val="7ADC5C7D"/>
    <w:rsid w:val="7AF77923"/>
    <w:rsid w:val="7AF81C4F"/>
    <w:rsid w:val="7B336A3B"/>
    <w:rsid w:val="7B390D3B"/>
    <w:rsid w:val="7B575E90"/>
    <w:rsid w:val="7B8A11BD"/>
    <w:rsid w:val="7B8E0F22"/>
    <w:rsid w:val="7BB107FA"/>
    <w:rsid w:val="7BB95F03"/>
    <w:rsid w:val="7BDA2241"/>
    <w:rsid w:val="7BE350CF"/>
    <w:rsid w:val="7BED0CB9"/>
    <w:rsid w:val="7C065B83"/>
    <w:rsid w:val="7C405469"/>
    <w:rsid w:val="7C4777D6"/>
    <w:rsid w:val="7C5551AB"/>
    <w:rsid w:val="7C5952FA"/>
    <w:rsid w:val="7C8D1CE5"/>
    <w:rsid w:val="7C8D414E"/>
    <w:rsid w:val="7CA45119"/>
    <w:rsid w:val="7CA4518D"/>
    <w:rsid w:val="7CAF7C9B"/>
    <w:rsid w:val="7CB83E2E"/>
    <w:rsid w:val="7CC73912"/>
    <w:rsid w:val="7CC96A95"/>
    <w:rsid w:val="7D1A4B15"/>
    <w:rsid w:val="7D217FDA"/>
    <w:rsid w:val="7D285992"/>
    <w:rsid w:val="7D2F72F0"/>
    <w:rsid w:val="7D4C2B67"/>
    <w:rsid w:val="7D4F4549"/>
    <w:rsid w:val="7D5407E0"/>
    <w:rsid w:val="7D572A32"/>
    <w:rsid w:val="7D751345"/>
    <w:rsid w:val="7D877204"/>
    <w:rsid w:val="7D8C225C"/>
    <w:rsid w:val="7D913B11"/>
    <w:rsid w:val="7D99311C"/>
    <w:rsid w:val="7DAA7311"/>
    <w:rsid w:val="7DE01D00"/>
    <w:rsid w:val="7DF45DB4"/>
    <w:rsid w:val="7DF76D39"/>
    <w:rsid w:val="7E0808FE"/>
    <w:rsid w:val="7E346B9D"/>
    <w:rsid w:val="7E66156B"/>
    <w:rsid w:val="7E972DA5"/>
    <w:rsid w:val="7EA52354"/>
    <w:rsid w:val="7EC54E07"/>
    <w:rsid w:val="7EE25788"/>
    <w:rsid w:val="7EE6756C"/>
    <w:rsid w:val="7EED054A"/>
    <w:rsid w:val="7F14040A"/>
    <w:rsid w:val="7F1F679B"/>
    <w:rsid w:val="7F2752E3"/>
    <w:rsid w:val="7F29292E"/>
    <w:rsid w:val="7F3B537A"/>
    <w:rsid w:val="7F685065"/>
    <w:rsid w:val="7F7960C2"/>
    <w:rsid w:val="7F7A1433"/>
    <w:rsid w:val="7F855246"/>
    <w:rsid w:val="7FB11E37"/>
    <w:rsid w:val="7FD065BE"/>
    <w:rsid w:val="7FDE4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nhideWhenUsed="1" w:qFormat="1"/>
    <w:lsdException w:name="heading 4" w:uiPriority="9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unhideWhenUsed="1" w:qFormat="1"/>
    <w:lsdException w:name="header" w:qFormat="1"/>
    <w:lsdException w:name="footer" w:qFormat="1"/>
    <w:lsdException w:name="index heading" w:qFormat="1"/>
    <w:lsdException w:name="caption" w:qFormat="1"/>
    <w:lsdException w:name="footnote reference" w:semiHidden="1" w:qFormat="1"/>
    <w:lsdException w:name="annotation reference" w:unhideWhenUsed="1" w:qFormat="1"/>
    <w:lsdException w:name="page number" w:qFormat="1"/>
    <w:lsdException w:name="endnote reference" w:semiHidden="1" w:qFormat="1"/>
    <w:lsdException w:name="endnote text" w:semiHidden="1" w:qFormat="1"/>
    <w:lsdException w:name="List Bullet 2" w:qFormat="1"/>
    <w:lsdException w:name="List Bullet 4" w:unhideWhenUsed="1" w:qFormat="1"/>
    <w:lsdException w:name="Title" w:qFormat="1"/>
    <w:lsdException w:name="Default Paragraph Font" w:semiHidden="1" w:uiPriority="1" w:unhideWhenUsed="1"/>
    <w:lsdException w:name="Body Text" w:uiPriority="99" w:unhideWhenUsed="1" w:qFormat="1"/>
    <w:lsdException w:name="Body Text Indent" w:qFormat="1"/>
    <w:lsdException w:name="Subtitle" w:qFormat="1"/>
    <w:lsdException w:name="Body Text First Indent 2" w:qFormat="1"/>
    <w:lsdException w:name="Hyperlink" w:uiPriority="99" w:qFormat="1"/>
    <w:lsdException w:name="FollowedHyperlink" w:qFormat="1"/>
    <w:lsdException w:name="Strong" w:qFormat="1"/>
    <w:lsdException w:name="Emphasis" w:qFormat="1"/>
    <w:lsdException w:name="Document Map" w:semiHidden="1" w:qFormat="1"/>
    <w:lsdException w:name="Plain Text" w:unhideWhenUsed="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next w:val="aff3"/>
    <w:qFormat/>
    <w:pPr>
      <w:widowControl w:val="0"/>
      <w:jc w:val="both"/>
    </w:pPr>
    <w:rPr>
      <w:kern w:val="2"/>
      <w:sz w:val="21"/>
      <w:szCs w:val="24"/>
    </w:rPr>
  </w:style>
  <w:style w:type="paragraph" w:styleId="1">
    <w:name w:val="heading 1"/>
    <w:basedOn w:val="aff2"/>
    <w:next w:val="aff2"/>
    <w:link w:val="1Char"/>
    <w:uiPriority w:val="99"/>
    <w:qFormat/>
    <w:pPr>
      <w:keepNext/>
      <w:keepLines/>
      <w:numPr>
        <w:numId w:val="1"/>
      </w:numPr>
      <w:spacing w:before="340" w:after="330" w:line="578" w:lineRule="auto"/>
      <w:outlineLvl w:val="0"/>
    </w:pPr>
    <w:rPr>
      <w:b/>
      <w:bCs/>
      <w:kern w:val="44"/>
      <w:sz w:val="44"/>
      <w:szCs w:val="44"/>
    </w:rPr>
  </w:style>
  <w:style w:type="paragraph" w:styleId="2">
    <w:name w:val="heading 2"/>
    <w:basedOn w:val="aff2"/>
    <w:next w:val="aff2"/>
    <w:link w:val="2Char"/>
    <w:qFormat/>
    <w:pPr>
      <w:keepNext/>
      <w:keepLines/>
      <w:numPr>
        <w:ilvl w:val="1"/>
        <w:numId w:val="1"/>
      </w:numPr>
      <w:spacing w:before="260" w:after="260" w:line="416" w:lineRule="auto"/>
      <w:outlineLvl w:val="1"/>
    </w:pPr>
    <w:rPr>
      <w:rFonts w:ascii="Arial" w:eastAsia="黑体" w:hAnsi="Arial"/>
      <w:b/>
      <w:bCs/>
      <w:sz w:val="32"/>
      <w:szCs w:val="32"/>
      <w:lang w:val="zh-CN"/>
    </w:rPr>
  </w:style>
  <w:style w:type="paragraph" w:styleId="3">
    <w:name w:val="heading 3"/>
    <w:basedOn w:val="aff2"/>
    <w:next w:val="aff2"/>
    <w:link w:val="3Char"/>
    <w:unhideWhenUsed/>
    <w:qFormat/>
    <w:pPr>
      <w:keepNext/>
      <w:keepLines/>
      <w:numPr>
        <w:ilvl w:val="2"/>
        <w:numId w:val="1"/>
      </w:numPr>
      <w:spacing w:before="260" w:after="260" w:line="416" w:lineRule="auto"/>
      <w:outlineLvl w:val="2"/>
    </w:pPr>
    <w:rPr>
      <w:b/>
      <w:bCs/>
      <w:sz w:val="32"/>
      <w:szCs w:val="32"/>
    </w:rPr>
  </w:style>
  <w:style w:type="paragraph" w:styleId="40">
    <w:name w:val="heading 4"/>
    <w:basedOn w:val="aff2"/>
    <w:next w:val="aff2"/>
    <w:link w:val="4Char"/>
    <w:uiPriority w:val="99"/>
    <w:unhideWhenUsed/>
    <w:qFormat/>
    <w:pPr>
      <w:keepNext/>
      <w:keepLines/>
      <w:numPr>
        <w:ilvl w:val="3"/>
        <w:numId w:val="1"/>
      </w:numPr>
      <w:spacing w:before="280" w:after="290" w:line="376" w:lineRule="auto"/>
      <w:outlineLvl w:val="3"/>
    </w:pPr>
    <w:rPr>
      <w:rFonts w:ascii="Cambria" w:hAnsi="Cambria"/>
      <w:b/>
      <w:bCs/>
      <w:sz w:val="28"/>
      <w:szCs w:val="28"/>
    </w:rPr>
  </w:style>
  <w:style w:type="paragraph" w:styleId="5">
    <w:name w:val="heading 5"/>
    <w:basedOn w:val="aff2"/>
    <w:next w:val="aff2"/>
    <w:link w:val="5Char"/>
    <w:uiPriority w:val="9"/>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ff2"/>
    <w:next w:val="aff2"/>
    <w:link w:val="6Char"/>
    <w:uiPriority w:val="9"/>
    <w:unhideWhenUsed/>
    <w:qFormat/>
    <w:pPr>
      <w:keepNext/>
      <w:keepLines/>
      <w:numPr>
        <w:ilvl w:val="5"/>
        <w:numId w:val="1"/>
      </w:numPr>
      <w:spacing w:before="240" w:after="64" w:line="320" w:lineRule="auto"/>
      <w:outlineLvl w:val="5"/>
    </w:pPr>
    <w:rPr>
      <w:rFonts w:ascii="Cambria" w:hAnsi="Cambria"/>
      <w:b/>
      <w:bCs/>
      <w:sz w:val="24"/>
    </w:rPr>
  </w:style>
  <w:style w:type="paragraph" w:styleId="7">
    <w:name w:val="heading 7"/>
    <w:basedOn w:val="aff2"/>
    <w:next w:val="aff2"/>
    <w:link w:val="7Char"/>
    <w:uiPriority w:val="9"/>
    <w:unhideWhenUsed/>
    <w:qFormat/>
    <w:pPr>
      <w:keepNext/>
      <w:keepLines/>
      <w:numPr>
        <w:ilvl w:val="6"/>
        <w:numId w:val="1"/>
      </w:numPr>
      <w:spacing w:before="240" w:after="64" w:line="320" w:lineRule="auto"/>
      <w:outlineLvl w:val="6"/>
    </w:pPr>
    <w:rPr>
      <w:b/>
      <w:bCs/>
      <w:sz w:val="24"/>
    </w:rPr>
  </w:style>
  <w:style w:type="paragraph" w:styleId="8">
    <w:name w:val="heading 8"/>
    <w:basedOn w:val="aff2"/>
    <w:next w:val="aff2"/>
    <w:link w:val="8Char"/>
    <w:uiPriority w:val="9"/>
    <w:unhideWhenUsed/>
    <w:qFormat/>
    <w:pPr>
      <w:keepNext/>
      <w:keepLines/>
      <w:numPr>
        <w:ilvl w:val="7"/>
        <w:numId w:val="1"/>
      </w:numPr>
      <w:spacing w:before="240" w:after="64" w:line="320" w:lineRule="auto"/>
      <w:outlineLvl w:val="7"/>
    </w:pPr>
    <w:rPr>
      <w:rFonts w:ascii="Cambria" w:hAnsi="Cambria"/>
      <w:sz w:val="24"/>
    </w:rPr>
  </w:style>
  <w:style w:type="paragraph" w:styleId="9">
    <w:name w:val="heading 9"/>
    <w:basedOn w:val="aff2"/>
    <w:next w:val="aff2"/>
    <w:link w:val="9Char"/>
    <w:uiPriority w:val="9"/>
    <w:unhideWhenUsed/>
    <w:qFormat/>
    <w:pPr>
      <w:keepNext/>
      <w:keepLines/>
      <w:numPr>
        <w:ilvl w:val="8"/>
        <w:numId w:val="1"/>
      </w:numPr>
      <w:spacing w:before="240" w:after="64" w:line="320" w:lineRule="auto"/>
      <w:outlineLvl w:val="8"/>
    </w:pPr>
    <w:rPr>
      <w:rFonts w:ascii="Cambria" w:hAnsi="Cambria"/>
      <w:szCs w:val="21"/>
    </w:rPr>
  </w:style>
  <w:style w:type="character" w:default="1" w:styleId="aff4">
    <w:name w:val="Default Paragraph Font"/>
    <w:uiPriority w:val="1"/>
    <w:semiHidden/>
    <w:unhideWhenUsed/>
  </w:style>
  <w:style w:type="table" w:default="1" w:styleId="aff5">
    <w:name w:val="Normal Table"/>
    <w:uiPriority w:val="99"/>
    <w:semiHidden/>
    <w:unhideWhenUsed/>
    <w:tblPr>
      <w:tblInd w:w="0" w:type="dxa"/>
      <w:tblCellMar>
        <w:top w:w="0" w:type="dxa"/>
        <w:left w:w="108" w:type="dxa"/>
        <w:bottom w:w="0" w:type="dxa"/>
        <w:right w:w="108" w:type="dxa"/>
      </w:tblCellMar>
    </w:tblPr>
  </w:style>
  <w:style w:type="numbering" w:default="1" w:styleId="aff6">
    <w:name w:val="No List"/>
    <w:uiPriority w:val="99"/>
    <w:semiHidden/>
    <w:unhideWhenUsed/>
  </w:style>
  <w:style w:type="paragraph" w:styleId="aff3">
    <w:name w:val="Body Text"/>
    <w:basedOn w:val="aff2"/>
    <w:next w:val="aff7"/>
    <w:uiPriority w:val="99"/>
    <w:unhideWhenUsed/>
    <w:qFormat/>
    <w:pPr>
      <w:autoSpaceDE w:val="0"/>
      <w:autoSpaceDN w:val="0"/>
      <w:adjustRightInd w:val="0"/>
      <w:jc w:val="center"/>
    </w:pPr>
  </w:style>
  <w:style w:type="paragraph" w:styleId="aff7">
    <w:name w:val="Title"/>
    <w:basedOn w:val="aff2"/>
    <w:next w:val="aff2"/>
    <w:qFormat/>
    <w:pPr>
      <w:spacing w:before="240" w:after="60"/>
      <w:jc w:val="center"/>
      <w:outlineLvl w:val="0"/>
    </w:pPr>
    <w:rPr>
      <w:rFonts w:ascii="Arial" w:hAnsi="Arial" w:cs="Arial"/>
      <w:b/>
      <w:bCs/>
      <w:sz w:val="32"/>
      <w:szCs w:val="32"/>
    </w:rPr>
  </w:style>
  <w:style w:type="paragraph" w:styleId="70">
    <w:name w:val="toc 7"/>
    <w:basedOn w:val="aff2"/>
    <w:next w:val="aff2"/>
    <w:semiHidden/>
    <w:qFormat/>
    <w:pPr>
      <w:tabs>
        <w:tab w:val="right" w:leader="dot" w:pos="9241"/>
      </w:tabs>
      <w:ind w:firstLineChars="500" w:firstLine="505"/>
      <w:jc w:val="left"/>
    </w:pPr>
    <w:rPr>
      <w:rFonts w:ascii="宋体"/>
      <w:szCs w:val="21"/>
    </w:rPr>
  </w:style>
  <w:style w:type="paragraph" w:styleId="4">
    <w:name w:val="List Bullet 4"/>
    <w:basedOn w:val="aff2"/>
    <w:unhideWhenUsed/>
    <w:qFormat/>
    <w:pPr>
      <w:numPr>
        <w:numId w:val="2"/>
      </w:numPr>
      <w:contextualSpacing/>
    </w:pPr>
  </w:style>
  <w:style w:type="paragraph" w:styleId="80">
    <w:name w:val="index 8"/>
    <w:basedOn w:val="aff2"/>
    <w:next w:val="aff2"/>
    <w:qFormat/>
    <w:pPr>
      <w:ind w:left="1680" w:hanging="210"/>
      <w:jc w:val="left"/>
    </w:pPr>
    <w:rPr>
      <w:rFonts w:ascii="Calibri" w:hAnsi="Calibri"/>
      <w:sz w:val="20"/>
      <w:szCs w:val="20"/>
    </w:rPr>
  </w:style>
  <w:style w:type="paragraph" w:styleId="aff8">
    <w:name w:val="caption"/>
    <w:basedOn w:val="aff2"/>
    <w:next w:val="aff2"/>
    <w:qFormat/>
    <w:pPr>
      <w:keepNext/>
      <w:spacing w:beforeLines="50" w:before="50" w:afterLines="50" w:after="50"/>
      <w:jc w:val="center"/>
    </w:pPr>
    <w:rPr>
      <w:rFonts w:ascii="黑体" w:eastAsia="黑体" w:hAnsi="黑体" w:cs="Arial"/>
      <w:szCs w:val="21"/>
    </w:rPr>
  </w:style>
  <w:style w:type="paragraph" w:styleId="50">
    <w:name w:val="index 5"/>
    <w:basedOn w:val="aff2"/>
    <w:next w:val="aff2"/>
    <w:qFormat/>
    <w:pPr>
      <w:ind w:left="1050" w:hanging="210"/>
      <w:jc w:val="left"/>
    </w:pPr>
    <w:rPr>
      <w:rFonts w:ascii="Calibri" w:hAnsi="Calibri"/>
      <w:sz w:val="20"/>
      <w:szCs w:val="20"/>
    </w:rPr>
  </w:style>
  <w:style w:type="paragraph" w:styleId="aff9">
    <w:name w:val="Document Map"/>
    <w:basedOn w:val="aff2"/>
    <w:semiHidden/>
    <w:qFormat/>
    <w:pPr>
      <w:shd w:val="clear" w:color="auto" w:fill="000080"/>
    </w:pPr>
  </w:style>
  <w:style w:type="paragraph" w:styleId="affa">
    <w:name w:val="annotation text"/>
    <w:basedOn w:val="aff2"/>
    <w:link w:val="Char"/>
    <w:unhideWhenUsed/>
    <w:qFormat/>
    <w:pPr>
      <w:jc w:val="left"/>
    </w:pPr>
  </w:style>
  <w:style w:type="paragraph" w:styleId="60">
    <w:name w:val="index 6"/>
    <w:basedOn w:val="aff2"/>
    <w:next w:val="aff2"/>
    <w:qFormat/>
    <w:pPr>
      <w:ind w:left="1260" w:hanging="210"/>
      <w:jc w:val="left"/>
    </w:pPr>
    <w:rPr>
      <w:rFonts w:ascii="Calibri" w:hAnsi="Calibri"/>
      <w:sz w:val="20"/>
      <w:szCs w:val="20"/>
    </w:rPr>
  </w:style>
  <w:style w:type="paragraph" w:styleId="affb">
    <w:name w:val="Body Text Indent"/>
    <w:basedOn w:val="aff2"/>
    <w:qFormat/>
    <w:pPr>
      <w:spacing w:after="120"/>
      <w:ind w:leftChars="200" w:left="420"/>
    </w:pPr>
  </w:style>
  <w:style w:type="paragraph" w:styleId="20">
    <w:name w:val="List Bullet 2"/>
    <w:basedOn w:val="aff2"/>
    <w:qFormat/>
    <w:pPr>
      <w:numPr>
        <w:numId w:val="3"/>
      </w:numPr>
    </w:pPr>
  </w:style>
  <w:style w:type="paragraph" w:styleId="41">
    <w:name w:val="index 4"/>
    <w:basedOn w:val="aff2"/>
    <w:next w:val="aff2"/>
    <w:qFormat/>
    <w:pPr>
      <w:ind w:left="840" w:hanging="210"/>
      <w:jc w:val="left"/>
    </w:pPr>
    <w:rPr>
      <w:rFonts w:ascii="Calibri" w:hAnsi="Calibri"/>
      <w:sz w:val="20"/>
      <w:szCs w:val="20"/>
    </w:rPr>
  </w:style>
  <w:style w:type="paragraph" w:styleId="51">
    <w:name w:val="toc 5"/>
    <w:basedOn w:val="aff2"/>
    <w:next w:val="aff2"/>
    <w:semiHidden/>
    <w:qFormat/>
    <w:pPr>
      <w:tabs>
        <w:tab w:val="right" w:leader="dot" w:pos="9241"/>
      </w:tabs>
      <w:ind w:firstLineChars="300" w:firstLine="300"/>
      <w:jc w:val="left"/>
    </w:pPr>
    <w:rPr>
      <w:rFonts w:ascii="宋体"/>
      <w:szCs w:val="21"/>
    </w:rPr>
  </w:style>
  <w:style w:type="paragraph" w:styleId="30">
    <w:name w:val="toc 3"/>
    <w:basedOn w:val="aff2"/>
    <w:next w:val="aff2"/>
    <w:uiPriority w:val="39"/>
    <w:qFormat/>
    <w:pPr>
      <w:tabs>
        <w:tab w:val="right" w:leader="dot" w:pos="9241"/>
      </w:tabs>
      <w:ind w:firstLineChars="100" w:firstLine="102"/>
      <w:jc w:val="left"/>
    </w:pPr>
    <w:rPr>
      <w:rFonts w:ascii="宋体"/>
      <w:szCs w:val="21"/>
    </w:rPr>
  </w:style>
  <w:style w:type="paragraph" w:styleId="affc">
    <w:name w:val="Plain Text"/>
    <w:basedOn w:val="aff2"/>
    <w:unhideWhenUsed/>
    <w:qFormat/>
    <w:rPr>
      <w:rFonts w:asciiTheme="minorEastAsia" w:eastAsiaTheme="minorEastAsia" w:hAnsi="Courier New" w:cs="Courier New"/>
    </w:rPr>
  </w:style>
  <w:style w:type="paragraph" w:styleId="81">
    <w:name w:val="toc 8"/>
    <w:basedOn w:val="aff2"/>
    <w:next w:val="aff2"/>
    <w:semiHidden/>
    <w:qFormat/>
    <w:pPr>
      <w:tabs>
        <w:tab w:val="right" w:leader="dot" w:pos="9241"/>
      </w:tabs>
      <w:ind w:firstLineChars="600" w:firstLine="607"/>
      <w:jc w:val="left"/>
    </w:pPr>
    <w:rPr>
      <w:rFonts w:ascii="宋体"/>
      <w:szCs w:val="21"/>
    </w:rPr>
  </w:style>
  <w:style w:type="paragraph" w:styleId="31">
    <w:name w:val="index 3"/>
    <w:basedOn w:val="aff2"/>
    <w:next w:val="aff2"/>
    <w:qFormat/>
    <w:pPr>
      <w:ind w:left="630" w:hanging="210"/>
      <w:jc w:val="left"/>
    </w:pPr>
    <w:rPr>
      <w:rFonts w:ascii="Calibri" w:hAnsi="Calibri"/>
      <w:sz w:val="20"/>
      <w:szCs w:val="20"/>
    </w:rPr>
  </w:style>
  <w:style w:type="paragraph" w:styleId="affd">
    <w:name w:val="endnote text"/>
    <w:basedOn w:val="aff2"/>
    <w:semiHidden/>
    <w:qFormat/>
    <w:pPr>
      <w:snapToGrid w:val="0"/>
      <w:jc w:val="left"/>
    </w:pPr>
  </w:style>
  <w:style w:type="paragraph" w:styleId="affe">
    <w:name w:val="Balloon Text"/>
    <w:basedOn w:val="aff2"/>
    <w:link w:val="Char0"/>
    <w:qFormat/>
    <w:rPr>
      <w:sz w:val="18"/>
      <w:szCs w:val="18"/>
    </w:rPr>
  </w:style>
  <w:style w:type="paragraph" w:styleId="afff">
    <w:name w:val="footer"/>
    <w:basedOn w:val="aff2"/>
    <w:qFormat/>
    <w:pPr>
      <w:snapToGrid w:val="0"/>
      <w:ind w:rightChars="100" w:right="210"/>
      <w:jc w:val="right"/>
    </w:pPr>
    <w:rPr>
      <w:sz w:val="18"/>
      <w:szCs w:val="18"/>
    </w:rPr>
  </w:style>
  <w:style w:type="paragraph" w:styleId="afff0">
    <w:name w:val="header"/>
    <w:basedOn w:val="aff2"/>
    <w:link w:val="Char1"/>
    <w:qFormat/>
    <w:pPr>
      <w:snapToGrid w:val="0"/>
      <w:jc w:val="left"/>
    </w:pPr>
    <w:rPr>
      <w:sz w:val="18"/>
      <w:szCs w:val="18"/>
    </w:rPr>
  </w:style>
  <w:style w:type="paragraph" w:styleId="10">
    <w:name w:val="toc 1"/>
    <w:basedOn w:val="aff2"/>
    <w:next w:val="aff2"/>
    <w:uiPriority w:val="39"/>
    <w:qFormat/>
    <w:pPr>
      <w:tabs>
        <w:tab w:val="right" w:leader="dot" w:pos="9241"/>
      </w:tabs>
      <w:spacing w:beforeLines="25" w:before="25" w:afterLines="25" w:after="25"/>
      <w:jc w:val="left"/>
    </w:pPr>
    <w:rPr>
      <w:rFonts w:ascii="宋体"/>
      <w:szCs w:val="21"/>
    </w:rPr>
  </w:style>
  <w:style w:type="paragraph" w:styleId="42">
    <w:name w:val="toc 4"/>
    <w:basedOn w:val="aff2"/>
    <w:next w:val="aff2"/>
    <w:semiHidden/>
    <w:qFormat/>
    <w:pPr>
      <w:tabs>
        <w:tab w:val="right" w:leader="dot" w:pos="9241"/>
      </w:tabs>
      <w:ind w:firstLineChars="200" w:firstLine="198"/>
      <w:jc w:val="left"/>
    </w:pPr>
    <w:rPr>
      <w:rFonts w:ascii="宋体"/>
      <w:szCs w:val="21"/>
    </w:rPr>
  </w:style>
  <w:style w:type="paragraph" w:styleId="afff1">
    <w:name w:val="index heading"/>
    <w:basedOn w:val="aff2"/>
    <w:next w:val="11"/>
    <w:qFormat/>
    <w:pPr>
      <w:spacing w:before="120" w:after="120"/>
      <w:jc w:val="center"/>
    </w:pPr>
    <w:rPr>
      <w:rFonts w:ascii="Calibri" w:hAnsi="Calibri"/>
      <w:b/>
      <w:bCs/>
      <w:iCs/>
      <w:szCs w:val="20"/>
    </w:rPr>
  </w:style>
  <w:style w:type="paragraph" w:styleId="11">
    <w:name w:val="index 1"/>
    <w:basedOn w:val="aff2"/>
    <w:next w:val="afff2"/>
    <w:qFormat/>
    <w:pPr>
      <w:tabs>
        <w:tab w:val="right" w:leader="dot" w:pos="9299"/>
      </w:tabs>
      <w:jc w:val="left"/>
    </w:pPr>
    <w:rPr>
      <w:rFonts w:ascii="宋体"/>
      <w:szCs w:val="21"/>
    </w:rPr>
  </w:style>
  <w:style w:type="paragraph" w:customStyle="1" w:styleId="afff2">
    <w:name w:val="段"/>
    <w:link w:val="Char2"/>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pPr>
      <w:numPr>
        <w:numId w:val="4"/>
      </w:numPr>
      <w:snapToGrid w:val="0"/>
      <w:jc w:val="left"/>
    </w:pPr>
    <w:rPr>
      <w:rFonts w:ascii="宋体"/>
      <w:sz w:val="18"/>
      <w:szCs w:val="18"/>
    </w:rPr>
  </w:style>
  <w:style w:type="paragraph" w:styleId="61">
    <w:name w:val="toc 6"/>
    <w:basedOn w:val="aff2"/>
    <w:next w:val="aff2"/>
    <w:semiHidden/>
    <w:qFormat/>
    <w:pPr>
      <w:tabs>
        <w:tab w:val="right" w:leader="dot" w:pos="9241"/>
      </w:tabs>
      <w:ind w:firstLineChars="400" w:firstLine="403"/>
      <w:jc w:val="left"/>
    </w:pPr>
    <w:rPr>
      <w:rFonts w:ascii="宋体"/>
      <w:szCs w:val="21"/>
    </w:rPr>
  </w:style>
  <w:style w:type="paragraph" w:styleId="71">
    <w:name w:val="index 7"/>
    <w:basedOn w:val="aff2"/>
    <w:next w:val="aff2"/>
    <w:qFormat/>
    <w:pPr>
      <w:ind w:left="1470" w:hanging="210"/>
      <w:jc w:val="left"/>
    </w:pPr>
    <w:rPr>
      <w:rFonts w:ascii="Calibri" w:hAnsi="Calibri"/>
      <w:sz w:val="20"/>
      <w:szCs w:val="20"/>
    </w:rPr>
  </w:style>
  <w:style w:type="paragraph" w:styleId="90">
    <w:name w:val="index 9"/>
    <w:basedOn w:val="aff2"/>
    <w:next w:val="aff2"/>
    <w:qFormat/>
    <w:pPr>
      <w:ind w:left="1890" w:hanging="210"/>
      <w:jc w:val="left"/>
    </w:pPr>
    <w:rPr>
      <w:rFonts w:ascii="Calibri" w:hAnsi="Calibri"/>
      <w:sz w:val="20"/>
      <w:szCs w:val="20"/>
    </w:rPr>
  </w:style>
  <w:style w:type="paragraph" w:styleId="21">
    <w:name w:val="toc 2"/>
    <w:basedOn w:val="aff2"/>
    <w:next w:val="aff2"/>
    <w:uiPriority w:val="39"/>
    <w:qFormat/>
    <w:pPr>
      <w:tabs>
        <w:tab w:val="right" w:leader="dot" w:pos="9241"/>
      </w:tabs>
    </w:pPr>
    <w:rPr>
      <w:rFonts w:ascii="宋体"/>
      <w:szCs w:val="21"/>
    </w:rPr>
  </w:style>
  <w:style w:type="paragraph" w:styleId="91">
    <w:name w:val="toc 9"/>
    <w:basedOn w:val="aff2"/>
    <w:next w:val="aff2"/>
    <w:semiHidden/>
    <w:qFormat/>
    <w:pPr>
      <w:ind w:left="1470"/>
      <w:jc w:val="left"/>
    </w:pPr>
    <w:rPr>
      <w:sz w:val="20"/>
      <w:szCs w:val="20"/>
    </w:rPr>
  </w:style>
  <w:style w:type="paragraph" w:styleId="afff3">
    <w:name w:val="Normal (Web)"/>
    <w:basedOn w:val="aff2"/>
    <w:qFormat/>
    <w:pPr>
      <w:jc w:val="left"/>
    </w:pPr>
    <w:rPr>
      <w:kern w:val="0"/>
      <w:sz w:val="24"/>
    </w:rPr>
  </w:style>
  <w:style w:type="paragraph" w:styleId="22">
    <w:name w:val="index 2"/>
    <w:basedOn w:val="aff2"/>
    <w:next w:val="aff2"/>
    <w:qFormat/>
    <w:pPr>
      <w:ind w:left="420" w:hanging="210"/>
      <w:jc w:val="left"/>
    </w:pPr>
    <w:rPr>
      <w:rFonts w:ascii="Calibri" w:hAnsi="Calibri"/>
      <w:sz w:val="20"/>
      <w:szCs w:val="20"/>
    </w:rPr>
  </w:style>
  <w:style w:type="paragraph" w:styleId="afff4">
    <w:name w:val="annotation subject"/>
    <w:basedOn w:val="affa"/>
    <w:next w:val="affa"/>
    <w:link w:val="Char3"/>
    <w:qFormat/>
    <w:rPr>
      <w:b/>
      <w:bCs/>
    </w:rPr>
  </w:style>
  <w:style w:type="paragraph" w:styleId="23">
    <w:name w:val="Body Text First Indent 2"/>
    <w:basedOn w:val="affb"/>
    <w:qFormat/>
    <w:pPr>
      <w:ind w:firstLineChars="200" w:firstLine="420"/>
    </w:pPr>
  </w:style>
  <w:style w:type="table" w:styleId="afff5">
    <w:name w:val="Table Grid"/>
    <w:basedOn w:val="aff5"/>
    <w:uiPriority w:val="59"/>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6">
    <w:name w:val="Strong"/>
    <w:basedOn w:val="aff4"/>
    <w:qFormat/>
    <w:rPr>
      <w:b/>
    </w:rPr>
  </w:style>
  <w:style w:type="character" w:styleId="afff7">
    <w:name w:val="endnote reference"/>
    <w:semiHidden/>
    <w:qFormat/>
    <w:rPr>
      <w:vertAlign w:val="superscript"/>
    </w:rPr>
  </w:style>
  <w:style w:type="character" w:styleId="afff8">
    <w:name w:val="page number"/>
    <w:qFormat/>
    <w:rPr>
      <w:rFonts w:ascii="Times New Roman" w:eastAsia="宋体" w:hAnsi="Times New Roman"/>
      <w:sz w:val="18"/>
    </w:rPr>
  </w:style>
  <w:style w:type="character" w:styleId="afff9">
    <w:name w:val="FollowedHyperlink"/>
    <w:qFormat/>
    <w:rPr>
      <w:color w:val="800080"/>
      <w:u w:val="single"/>
    </w:rPr>
  </w:style>
  <w:style w:type="character" w:styleId="afffa">
    <w:name w:val="Emphasis"/>
    <w:basedOn w:val="aff4"/>
    <w:qFormat/>
    <w:rPr>
      <w:i/>
    </w:rPr>
  </w:style>
  <w:style w:type="character" w:styleId="afffb">
    <w:name w:val="Hyperlink"/>
    <w:uiPriority w:val="99"/>
    <w:qFormat/>
    <w:rPr>
      <w:color w:val="0000FF"/>
      <w:spacing w:val="0"/>
      <w:w w:val="100"/>
      <w:szCs w:val="21"/>
      <w:u w:val="single"/>
      <w:lang w:val="en-US" w:eastAsia="zh-CN"/>
    </w:rPr>
  </w:style>
  <w:style w:type="character" w:styleId="afffc">
    <w:name w:val="annotation reference"/>
    <w:unhideWhenUsed/>
    <w:qFormat/>
    <w:rPr>
      <w:sz w:val="21"/>
      <w:szCs w:val="21"/>
    </w:rPr>
  </w:style>
  <w:style w:type="character" w:styleId="afffd">
    <w:name w:val="footnote reference"/>
    <w:semiHidden/>
    <w:qFormat/>
    <w:rPr>
      <w:vertAlign w:val="superscript"/>
    </w:rPr>
  </w:style>
  <w:style w:type="character" w:customStyle="1" w:styleId="Char0">
    <w:name w:val="批注框文本 Char"/>
    <w:link w:val="affe"/>
    <w:qFormat/>
    <w:rPr>
      <w:kern w:val="2"/>
      <w:sz w:val="18"/>
      <w:szCs w:val="18"/>
    </w:rPr>
  </w:style>
  <w:style w:type="character" w:customStyle="1" w:styleId="Char2">
    <w:name w:val="段 Char"/>
    <w:link w:val="afff2"/>
    <w:qFormat/>
    <w:rPr>
      <w:rFonts w:ascii="宋体"/>
      <w:sz w:val="21"/>
    </w:rPr>
  </w:style>
  <w:style w:type="paragraph" w:customStyle="1" w:styleId="a5">
    <w:name w:val="一级条标题"/>
    <w:next w:val="afff2"/>
    <w:qFormat/>
    <w:pPr>
      <w:numPr>
        <w:ilvl w:val="1"/>
        <w:numId w:val="5"/>
      </w:numPr>
      <w:spacing w:beforeLines="50" w:before="156" w:afterLines="50" w:after="156"/>
      <w:outlineLvl w:val="2"/>
    </w:pPr>
    <w:rPr>
      <w:rFonts w:ascii="黑体" w:eastAsia="黑体"/>
      <w:sz w:val="21"/>
      <w:szCs w:val="21"/>
    </w:rPr>
  </w:style>
  <w:style w:type="paragraph" w:customStyle="1" w:styleId="afffe">
    <w:name w:val="标准书脚_奇数页"/>
    <w:qFormat/>
    <w:pPr>
      <w:spacing w:before="120"/>
      <w:ind w:right="198"/>
      <w:jc w:val="right"/>
    </w:pPr>
    <w:rPr>
      <w:rFonts w:ascii="宋体"/>
      <w:sz w:val="18"/>
      <w:szCs w:val="18"/>
    </w:rPr>
  </w:style>
  <w:style w:type="paragraph" w:customStyle="1" w:styleId="affff">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4">
    <w:name w:val="章标题"/>
    <w:next w:val="afff2"/>
    <w:qFormat/>
    <w:pPr>
      <w:numPr>
        <w:numId w:val="5"/>
      </w:numPr>
      <w:spacing w:beforeLines="100" w:before="312" w:afterLines="100" w:after="312"/>
      <w:jc w:val="both"/>
      <w:outlineLvl w:val="1"/>
    </w:pPr>
    <w:rPr>
      <w:rFonts w:ascii="黑体" w:eastAsia="黑体"/>
      <w:sz w:val="21"/>
    </w:rPr>
  </w:style>
  <w:style w:type="paragraph" w:customStyle="1" w:styleId="a6">
    <w:name w:val="二级条标题"/>
    <w:basedOn w:val="a5"/>
    <w:next w:val="afff2"/>
    <w:qFormat/>
    <w:pPr>
      <w:numPr>
        <w:ilvl w:val="2"/>
      </w:numPr>
      <w:spacing w:before="50" w:after="50"/>
      <w:outlineLvl w:val="3"/>
    </w:pPr>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pPr>
      <w:widowControl w:val="0"/>
      <w:numPr>
        <w:numId w:val="6"/>
      </w:numPr>
      <w:jc w:val="both"/>
    </w:pPr>
    <w:rPr>
      <w:rFonts w:ascii="宋体"/>
      <w:sz w:val="21"/>
    </w:rPr>
  </w:style>
  <w:style w:type="paragraph" w:customStyle="1" w:styleId="ad">
    <w:name w:val="列项●（二级）"/>
    <w:qFormat/>
    <w:pPr>
      <w:numPr>
        <w:ilvl w:val="1"/>
        <w:numId w:val="6"/>
      </w:numPr>
      <w:tabs>
        <w:tab w:val="left" w:pos="840"/>
      </w:tabs>
      <w:jc w:val="both"/>
    </w:pPr>
    <w:rPr>
      <w:rFonts w:ascii="宋体"/>
      <w:sz w:val="21"/>
    </w:rPr>
  </w:style>
  <w:style w:type="paragraph" w:customStyle="1" w:styleId="affff0">
    <w:name w:val="目次、标准名称标题"/>
    <w:basedOn w:val="aff2"/>
    <w:next w:val="afff2"/>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f2"/>
    <w:qFormat/>
    <w:pPr>
      <w:numPr>
        <w:ilvl w:val="3"/>
      </w:numPr>
      <w:outlineLvl w:val="4"/>
    </w:pPr>
  </w:style>
  <w:style w:type="paragraph" w:customStyle="1" w:styleId="a1">
    <w:name w:val="示例"/>
    <w:next w:val="affff1"/>
    <w:qFormat/>
    <w:pPr>
      <w:widowControl w:val="0"/>
      <w:numPr>
        <w:numId w:val="7"/>
      </w:numPr>
      <w:jc w:val="both"/>
    </w:pPr>
    <w:rPr>
      <w:rFonts w:ascii="宋体"/>
      <w:sz w:val="18"/>
      <w:szCs w:val="18"/>
    </w:rPr>
  </w:style>
  <w:style w:type="paragraph" w:customStyle="1" w:styleId="affff1">
    <w:name w:val="示例内容"/>
    <w:qFormat/>
    <w:pPr>
      <w:ind w:firstLineChars="200" w:firstLine="200"/>
    </w:pPr>
    <w:rPr>
      <w:rFonts w:ascii="宋体"/>
      <w:sz w:val="18"/>
      <w:szCs w:val="18"/>
    </w:rPr>
  </w:style>
  <w:style w:type="paragraph" w:customStyle="1" w:styleId="af1">
    <w:name w:val="数字编号列项（二级）"/>
    <w:qFormat/>
    <w:pPr>
      <w:numPr>
        <w:ilvl w:val="1"/>
        <w:numId w:val="8"/>
      </w:numPr>
      <w:jc w:val="both"/>
    </w:pPr>
    <w:rPr>
      <w:rFonts w:ascii="宋体"/>
      <w:sz w:val="21"/>
    </w:rPr>
  </w:style>
  <w:style w:type="paragraph" w:customStyle="1" w:styleId="a8">
    <w:name w:val="四级条标题"/>
    <w:basedOn w:val="a7"/>
    <w:next w:val="afff2"/>
    <w:qFormat/>
    <w:pPr>
      <w:numPr>
        <w:ilvl w:val="4"/>
      </w:numPr>
      <w:ind w:left="0"/>
      <w:outlineLvl w:val="5"/>
    </w:pPr>
  </w:style>
  <w:style w:type="paragraph" w:customStyle="1" w:styleId="a9">
    <w:name w:val="五级条标题"/>
    <w:basedOn w:val="a8"/>
    <w:next w:val="afff2"/>
    <w:qFormat/>
    <w:pPr>
      <w:numPr>
        <w:ilvl w:val="5"/>
      </w:numPr>
      <w:outlineLvl w:val="6"/>
    </w:pPr>
  </w:style>
  <w:style w:type="paragraph" w:customStyle="1" w:styleId="aff1">
    <w:name w:val="注："/>
    <w:next w:val="afff2"/>
    <w:qFormat/>
    <w:pPr>
      <w:widowControl w:val="0"/>
      <w:numPr>
        <w:numId w:val="9"/>
      </w:numPr>
      <w:autoSpaceDE w:val="0"/>
      <w:autoSpaceDN w:val="0"/>
      <w:jc w:val="both"/>
    </w:pPr>
    <w:rPr>
      <w:rFonts w:ascii="宋体"/>
      <w:sz w:val="18"/>
      <w:szCs w:val="18"/>
    </w:rPr>
  </w:style>
  <w:style w:type="paragraph" w:customStyle="1" w:styleId="a">
    <w:name w:val="注×："/>
    <w:qFormat/>
    <w:pPr>
      <w:widowControl w:val="0"/>
      <w:numPr>
        <w:numId w:val="10"/>
      </w:numPr>
      <w:autoSpaceDE w:val="0"/>
      <w:autoSpaceDN w:val="0"/>
      <w:jc w:val="both"/>
    </w:pPr>
    <w:rPr>
      <w:rFonts w:ascii="宋体"/>
      <w:sz w:val="18"/>
      <w:szCs w:val="18"/>
    </w:rPr>
  </w:style>
  <w:style w:type="paragraph" w:customStyle="1" w:styleId="af0">
    <w:name w:val="字母编号列项（一级）"/>
    <w:qFormat/>
    <w:pPr>
      <w:numPr>
        <w:numId w:val="11"/>
      </w:numPr>
      <w:jc w:val="both"/>
    </w:pPr>
    <w:rPr>
      <w:rFonts w:ascii="宋体"/>
      <w:sz w:val="21"/>
    </w:rPr>
  </w:style>
  <w:style w:type="paragraph" w:customStyle="1" w:styleId="ae">
    <w:name w:val="列项◆（三级）"/>
    <w:basedOn w:val="aff2"/>
    <w:qFormat/>
    <w:pPr>
      <w:numPr>
        <w:ilvl w:val="2"/>
        <w:numId w:val="6"/>
      </w:numPr>
    </w:pPr>
    <w:rPr>
      <w:rFonts w:ascii="宋体"/>
      <w:szCs w:val="21"/>
    </w:rPr>
  </w:style>
  <w:style w:type="paragraph" w:customStyle="1" w:styleId="af2">
    <w:name w:val="编号列项（三级）"/>
    <w:qFormat/>
    <w:pPr>
      <w:numPr>
        <w:ilvl w:val="2"/>
        <w:numId w:val="8"/>
      </w:numPr>
    </w:pPr>
    <w:rPr>
      <w:rFonts w:ascii="宋体"/>
      <w:sz w:val="21"/>
    </w:rPr>
  </w:style>
  <w:style w:type="paragraph" w:customStyle="1" w:styleId="af3">
    <w:name w:val="示例×："/>
    <w:basedOn w:val="a4"/>
    <w:qFormat/>
    <w:pPr>
      <w:numPr>
        <w:numId w:val="12"/>
      </w:numPr>
      <w:spacing w:beforeLines="0" w:before="0" w:afterLines="0" w:after="0"/>
      <w:outlineLvl w:val="9"/>
    </w:pPr>
    <w:rPr>
      <w:rFonts w:ascii="宋体" w:eastAsia="宋体"/>
      <w:sz w:val="18"/>
      <w:szCs w:val="18"/>
    </w:rPr>
  </w:style>
  <w:style w:type="paragraph" w:customStyle="1" w:styleId="affff2">
    <w:name w:val="二级无"/>
    <w:basedOn w:val="a6"/>
    <w:qFormat/>
    <w:pPr>
      <w:spacing w:beforeLines="0" w:before="0" w:afterLines="0" w:after="0"/>
    </w:pPr>
    <w:rPr>
      <w:rFonts w:ascii="宋体" w:eastAsia="宋体"/>
    </w:rPr>
  </w:style>
  <w:style w:type="paragraph" w:customStyle="1" w:styleId="affff3">
    <w:name w:val="注：（正文）"/>
    <w:basedOn w:val="aff1"/>
    <w:next w:val="afff2"/>
    <w:qFormat/>
  </w:style>
  <w:style w:type="paragraph" w:customStyle="1" w:styleId="a3">
    <w:name w:val="注×：（正文）"/>
    <w:qFormat/>
    <w:pPr>
      <w:numPr>
        <w:numId w:val="13"/>
      </w:numPr>
      <w:jc w:val="both"/>
    </w:pPr>
    <w:rPr>
      <w:rFonts w:ascii="宋体"/>
      <w:sz w:val="18"/>
      <w:szCs w:val="18"/>
    </w:rPr>
  </w:style>
  <w:style w:type="paragraph" w:customStyle="1" w:styleId="affff4">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5">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6">
    <w:name w:val="标准书脚_偶数页"/>
    <w:qFormat/>
    <w:pPr>
      <w:spacing w:before="120"/>
      <w:ind w:left="221"/>
    </w:pPr>
    <w:rPr>
      <w:rFonts w:ascii="宋体"/>
      <w:sz w:val="18"/>
      <w:szCs w:val="18"/>
    </w:rPr>
  </w:style>
  <w:style w:type="paragraph" w:customStyle="1" w:styleId="affff7">
    <w:name w:val="标准书眉_偶数页"/>
    <w:basedOn w:val="affff"/>
    <w:next w:val="aff2"/>
    <w:qFormat/>
    <w:pPr>
      <w:jc w:val="left"/>
    </w:pPr>
  </w:style>
  <w:style w:type="paragraph" w:customStyle="1" w:styleId="affff8">
    <w:name w:val="标准书眉一"/>
    <w:qFormat/>
    <w:pPr>
      <w:jc w:val="both"/>
    </w:pPr>
  </w:style>
  <w:style w:type="paragraph" w:customStyle="1" w:styleId="affff9">
    <w:name w:val="参考文献"/>
    <w:basedOn w:val="aff2"/>
    <w:next w:val="afff2"/>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a">
    <w:name w:val="参考文献、索引标题"/>
    <w:basedOn w:val="aff2"/>
    <w:next w:val="afff2"/>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b">
    <w:name w:val="发布"/>
    <w:qFormat/>
    <w:rPr>
      <w:rFonts w:ascii="黑体" w:eastAsia="黑体"/>
      <w:spacing w:val="85"/>
      <w:w w:val="100"/>
      <w:position w:val="3"/>
      <w:sz w:val="28"/>
      <w:szCs w:val="28"/>
    </w:rPr>
  </w:style>
  <w:style w:type="paragraph" w:customStyle="1" w:styleId="affffc">
    <w:name w:val="发布部门"/>
    <w:next w:val="afff2"/>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d">
    <w:name w:val="发布日期"/>
    <w:qFormat/>
    <w:pPr>
      <w:framePr w:w="3997" w:h="471" w:hRule="exact" w:vSpace="181" w:wrap="around" w:hAnchor="page" w:x="7089" w:y="14097" w:anchorLock="1"/>
    </w:pPr>
    <w:rPr>
      <w:rFonts w:eastAsia="黑体"/>
      <w:sz w:val="28"/>
    </w:rPr>
  </w:style>
  <w:style w:type="paragraph" w:customStyle="1" w:styleId="affffe">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0">
    <w:name w:val="封面标准英文名称"/>
    <w:basedOn w:val="afffff"/>
    <w:qFormat/>
    <w:pPr>
      <w:framePr w:wrap="around"/>
      <w:spacing w:before="370" w:line="400" w:lineRule="exact"/>
    </w:pPr>
    <w:rPr>
      <w:rFonts w:ascii="Times New Roman"/>
      <w:sz w:val="28"/>
      <w:szCs w:val="28"/>
    </w:rPr>
  </w:style>
  <w:style w:type="paragraph" w:customStyle="1" w:styleId="afffff1">
    <w:name w:val="封面一致性程度标识"/>
    <w:basedOn w:val="afffff0"/>
    <w:qFormat/>
    <w:pPr>
      <w:framePr w:wrap="around"/>
      <w:spacing w:before="440"/>
    </w:pPr>
    <w:rPr>
      <w:rFonts w:ascii="宋体" w:eastAsia="宋体"/>
    </w:rPr>
  </w:style>
  <w:style w:type="paragraph" w:customStyle="1" w:styleId="afffff2">
    <w:name w:val="封面标准文稿类别"/>
    <w:basedOn w:val="afffff1"/>
    <w:qFormat/>
    <w:pPr>
      <w:framePr w:wrap="around"/>
      <w:spacing w:after="160" w:line="240" w:lineRule="auto"/>
    </w:pPr>
    <w:rPr>
      <w:sz w:val="24"/>
    </w:rPr>
  </w:style>
  <w:style w:type="paragraph" w:customStyle="1" w:styleId="afffff3">
    <w:name w:val="封面标准文稿编辑信息"/>
    <w:basedOn w:val="afffff2"/>
    <w:qFormat/>
    <w:pPr>
      <w:framePr w:wrap="around"/>
      <w:spacing w:before="180" w:line="180" w:lineRule="exact"/>
    </w:pPr>
    <w:rPr>
      <w:sz w:val="21"/>
    </w:rPr>
  </w:style>
  <w:style w:type="paragraph" w:customStyle="1" w:styleId="afffff4">
    <w:name w:val="封面正文"/>
    <w:qFormat/>
    <w:pPr>
      <w:jc w:val="both"/>
    </w:pPr>
  </w:style>
  <w:style w:type="paragraph" w:customStyle="1" w:styleId="af8">
    <w:name w:val="附录标识"/>
    <w:basedOn w:val="aff2"/>
    <w:next w:val="afff2"/>
    <w:qFormat/>
    <w:pPr>
      <w:keepNext/>
      <w:widowControl/>
      <w:numPr>
        <w:numId w:val="1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5">
    <w:name w:val="附录标题"/>
    <w:basedOn w:val="afff2"/>
    <w:next w:val="afff2"/>
    <w:qFormat/>
    <w:pPr>
      <w:ind w:firstLineChars="0" w:firstLine="0"/>
      <w:jc w:val="center"/>
    </w:pPr>
    <w:rPr>
      <w:rFonts w:ascii="黑体" w:eastAsia="黑体"/>
    </w:rPr>
  </w:style>
  <w:style w:type="paragraph" w:customStyle="1" w:styleId="af5">
    <w:name w:val="附录表标号"/>
    <w:basedOn w:val="aff2"/>
    <w:next w:val="afff2"/>
    <w:qFormat/>
    <w:pPr>
      <w:numPr>
        <w:numId w:val="15"/>
      </w:numPr>
      <w:tabs>
        <w:tab w:val="clear" w:pos="0"/>
      </w:tabs>
      <w:spacing w:line="14" w:lineRule="exact"/>
      <w:ind w:left="811" w:hanging="448"/>
      <w:jc w:val="center"/>
      <w:outlineLvl w:val="0"/>
    </w:pPr>
    <w:rPr>
      <w:color w:val="FFFFFF"/>
    </w:rPr>
  </w:style>
  <w:style w:type="paragraph" w:customStyle="1" w:styleId="af6">
    <w:name w:val="附录表标题"/>
    <w:basedOn w:val="aff2"/>
    <w:next w:val="afff2"/>
    <w:qFormat/>
    <w:pPr>
      <w:numPr>
        <w:ilvl w:val="1"/>
        <w:numId w:val="15"/>
      </w:numPr>
      <w:tabs>
        <w:tab w:val="left"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f2"/>
    <w:qFormat/>
    <w:pPr>
      <w:widowControl/>
      <w:numPr>
        <w:ilvl w:val="3"/>
        <w:numId w:val="14"/>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6">
    <w:name w:val="附录二级无"/>
    <w:basedOn w:val="afb"/>
    <w:qFormat/>
    <w:pPr>
      <w:tabs>
        <w:tab w:val="clear" w:pos="360"/>
      </w:tabs>
      <w:spacing w:beforeLines="0" w:before="0" w:afterLines="0" w:after="0"/>
    </w:pPr>
    <w:rPr>
      <w:rFonts w:ascii="宋体" w:eastAsia="宋体"/>
      <w:szCs w:val="21"/>
    </w:rPr>
  </w:style>
  <w:style w:type="paragraph" w:customStyle="1" w:styleId="afffff7">
    <w:name w:val="附录公式"/>
    <w:basedOn w:val="afff2"/>
    <w:next w:val="afff2"/>
    <w:link w:val="Char4"/>
    <w:qFormat/>
  </w:style>
  <w:style w:type="character" w:customStyle="1" w:styleId="Char4">
    <w:name w:val="附录公式 Char"/>
    <w:link w:val="afffff7"/>
    <w:qFormat/>
    <w:rPr>
      <w:lang w:val="en-US" w:eastAsia="zh-CN" w:bidi="ar-SA"/>
    </w:rPr>
  </w:style>
  <w:style w:type="paragraph" w:customStyle="1" w:styleId="afffff8">
    <w:name w:val="附录公式编号制表符"/>
    <w:basedOn w:val="aff2"/>
    <w:next w:val="afff2"/>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f2"/>
    <w:qFormat/>
    <w:pPr>
      <w:numPr>
        <w:ilvl w:val="4"/>
      </w:numPr>
      <w:outlineLvl w:val="4"/>
    </w:pPr>
  </w:style>
  <w:style w:type="paragraph" w:customStyle="1" w:styleId="afffff9">
    <w:name w:val="附录三级无"/>
    <w:basedOn w:val="afc"/>
    <w:qFormat/>
    <w:pPr>
      <w:tabs>
        <w:tab w:val="clear" w:pos="360"/>
      </w:tabs>
      <w:spacing w:beforeLines="0" w:before="0" w:afterLines="0" w:after="0"/>
    </w:pPr>
    <w:rPr>
      <w:rFonts w:ascii="宋体" w:eastAsia="宋体"/>
      <w:szCs w:val="21"/>
    </w:rPr>
  </w:style>
  <w:style w:type="paragraph" w:customStyle="1" w:styleId="aff0">
    <w:name w:val="附录数字编号列项（二级）"/>
    <w:qFormat/>
    <w:pPr>
      <w:numPr>
        <w:ilvl w:val="1"/>
        <w:numId w:val="16"/>
      </w:numPr>
    </w:pPr>
    <w:rPr>
      <w:rFonts w:ascii="宋体"/>
      <w:sz w:val="21"/>
    </w:rPr>
  </w:style>
  <w:style w:type="paragraph" w:customStyle="1" w:styleId="afd">
    <w:name w:val="附录四级条标题"/>
    <w:basedOn w:val="afc"/>
    <w:next w:val="afff2"/>
    <w:qFormat/>
    <w:pPr>
      <w:numPr>
        <w:ilvl w:val="5"/>
      </w:numPr>
      <w:outlineLvl w:val="5"/>
    </w:pPr>
  </w:style>
  <w:style w:type="paragraph" w:customStyle="1" w:styleId="afffffa">
    <w:name w:val="附录四级无"/>
    <w:basedOn w:val="afd"/>
    <w:qFormat/>
    <w:pPr>
      <w:tabs>
        <w:tab w:val="clear" w:pos="360"/>
      </w:tabs>
      <w:spacing w:beforeLines="0" w:before="0" w:afterLines="0" w:after="0"/>
    </w:pPr>
    <w:rPr>
      <w:rFonts w:ascii="宋体" w:eastAsia="宋体"/>
      <w:szCs w:val="21"/>
    </w:rPr>
  </w:style>
  <w:style w:type="paragraph" w:customStyle="1" w:styleId="aa">
    <w:name w:val="附录图标号"/>
    <w:basedOn w:val="aff2"/>
    <w:qFormat/>
    <w:pPr>
      <w:keepNext/>
      <w:pageBreakBefore/>
      <w:widowControl/>
      <w:numPr>
        <w:numId w:val="17"/>
      </w:numPr>
      <w:spacing w:line="14" w:lineRule="exact"/>
      <w:ind w:left="0" w:firstLine="363"/>
      <w:jc w:val="center"/>
      <w:outlineLvl w:val="0"/>
    </w:pPr>
    <w:rPr>
      <w:color w:val="FFFFFF"/>
    </w:rPr>
  </w:style>
  <w:style w:type="paragraph" w:customStyle="1" w:styleId="ab">
    <w:name w:val="附录图标题"/>
    <w:basedOn w:val="aff2"/>
    <w:next w:val="afff2"/>
    <w:qFormat/>
    <w:pPr>
      <w:numPr>
        <w:ilvl w:val="1"/>
        <w:numId w:val="17"/>
      </w:numPr>
      <w:tabs>
        <w:tab w:val="left"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f2"/>
    <w:qFormat/>
    <w:pPr>
      <w:numPr>
        <w:ilvl w:val="6"/>
      </w:numPr>
      <w:outlineLvl w:val="6"/>
    </w:pPr>
  </w:style>
  <w:style w:type="paragraph" w:customStyle="1" w:styleId="afffffb">
    <w:name w:val="附录五级无"/>
    <w:basedOn w:val="afe"/>
    <w:qFormat/>
    <w:pPr>
      <w:tabs>
        <w:tab w:val="clear" w:pos="360"/>
      </w:tabs>
      <w:spacing w:beforeLines="0" w:before="0" w:afterLines="0" w:after="0"/>
    </w:pPr>
    <w:rPr>
      <w:rFonts w:ascii="宋体" w:eastAsia="宋体"/>
      <w:szCs w:val="21"/>
    </w:rPr>
  </w:style>
  <w:style w:type="paragraph" w:customStyle="1" w:styleId="af9">
    <w:name w:val="附录章标题"/>
    <w:next w:val="afff2"/>
    <w:qFormat/>
    <w:pPr>
      <w:numPr>
        <w:ilvl w:val="1"/>
        <w:numId w:val="14"/>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f2"/>
    <w:qFormat/>
    <w:pPr>
      <w:numPr>
        <w:ilvl w:val="2"/>
      </w:numPr>
      <w:autoSpaceDN w:val="0"/>
      <w:spacing w:beforeLines="50" w:before="50" w:afterLines="50" w:after="50"/>
      <w:outlineLvl w:val="2"/>
    </w:pPr>
  </w:style>
  <w:style w:type="paragraph" w:customStyle="1" w:styleId="afffffc">
    <w:name w:val="附录一级无"/>
    <w:basedOn w:val="afa"/>
    <w:qFormat/>
    <w:pPr>
      <w:tabs>
        <w:tab w:val="clear" w:pos="360"/>
      </w:tabs>
      <w:spacing w:beforeLines="0" w:before="0" w:afterLines="0" w:after="0"/>
    </w:pPr>
    <w:rPr>
      <w:rFonts w:ascii="宋体" w:eastAsia="宋体"/>
      <w:szCs w:val="21"/>
    </w:rPr>
  </w:style>
  <w:style w:type="paragraph" w:customStyle="1" w:styleId="aff">
    <w:name w:val="附录字母编号列项（一级）"/>
    <w:qFormat/>
    <w:pPr>
      <w:numPr>
        <w:numId w:val="16"/>
      </w:numPr>
    </w:pPr>
    <w:rPr>
      <w:rFonts w:ascii="宋体"/>
      <w:sz w:val="21"/>
    </w:rPr>
  </w:style>
  <w:style w:type="paragraph" w:customStyle="1" w:styleId="afffffd">
    <w:name w:val="列项说明"/>
    <w:basedOn w:val="aff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e">
    <w:name w:val="列项说明数字编号"/>
    <w:qFormat/>
    <w:pPr>
      <w:ind w:leftChars="400" w:left="600" w:hangingChars="200" w:hanging="200"/>
    </w:pPr>
    <w:rPr>
      <w:rFonts w:ascii="宋体"/>
      <w:sz w:val="21"/>
    </w:rPr>
  </w:style>
  <w:style w:type="paragraph" w:customStyle="1" w:styleId="affffff">
    <w:name w:val="目次、索引正文"/>
    <w:qFormat/>
    <w:pPr>
      <w:spacing w:line="320" w:lineRule="exact"/>
      <w:jc w:val="both"/>
    </w:pPr>
    <w:rPr>
      <w:rFonts w:ascii="宋体"/>
      <w:sz w:val="21"/>
    </w:rPr>
  </w:style>
  <w:style w:type="paragraph" w:customStyle="1" w:styleId="affffff0">
    <w:name w:val="其他标准标志"/>
    <w:basedOn w:val="affff4"/>
    <w:qFormat/>
    <w:pPr>
      <w:framePr w:w="6101" w:wrap="around" w:vAnchor="page" w:hAnchor="page" w:x="4673" w:y="942"/>
    </w:pPr>
    <w:rPr>
      <w:w w:val="130"/>
    </w:rPr>
  </w:style>
  <w:style w:type="paragraph" w:customStyle="1" w:styleId="affffff1">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2">
    <w:name w:val="其他发布部门"/>
    <w:basedOn w:val="affffc"/>
    <w:qFormat/>
    <w:pPr>
      <w:framePr w:wrap="around" w:y="15310"/>
      <w:spacing w:line="0" w:lineRule="atLeast"/>
    </w:pPr>
    <w:rPr>
      <w:rFonts w:ascii="黑体" w:eastAsia="黑体"/>
      <w:b w:val="0"/>
    </w:rPr>
  </w:style>
  <w:style w:type="paragraph" w:customStyle="1" w:styleId="affffff3">
    <w:name w:val="前言、引言标题"/>
    <w:next w:val="afff2"/>
    <w:qFormat/>
    <w:pPr>
      <w:keepNext/>
      <w:pageBreakBefore/>
      <w:shd w:val="clear" w:color="FFFFFF" w:fill="FFFFFF"/>
      <w:spacing w:before="640" w:after="560"/>
      <w:jc w:val="center"/>
      <w:outlineLvl w:val="0"/>
    </w:pPr>
    <w:rPr>
      <w:rFonts w:ascii="黑体" w:eastAsia="黑体"/>
      <w:sz w:val="32"/>
    </w:rPr>
  </w:style>
  <w:style w:type="paragraph" w:customStyle="1" w:styleId="affffff4">
    <w:name w:val="三级无"/>
    <w:basedOn w:val="a7"/>
    <w:qFormat/>
    <w:pPr>
      <w:spacing w:beforeLines="0" w:before="0" w:afterLines="0" w:after="0"/>
    </w:pPr>
    <w:rPr>
      <w:rFonts w:ascii="宋体" w:eastAsia="宋体"/>
    </w:rPr>
  </w:style>
  <w:style w:type="paragraph" w:customStyle="1" w:styleId="affffff5">
    <w:name w:val="实施日期"/>
    <w:basedOn w:val="affffd"/>
    <w:qFormat/>
    <w:pPr>
      <w:framePr w:wrap="around" w:vAnchor="page" w:hAnchor="text"/>
      <w:jc w:val="right"/>
    </w:pPr>
  </w:style>
  <w:style w:type="paragraph" w:customStyle="1" w:styleId="affffff6">
    <w:name w:val="示例后文字"/>
    <w:basedOn w:val="afff2"/>
    <w:next w:val="afff2"/>
    <w:qFormat/>
    <w:pPr>
      <w:ind w:firstLine="360"/>
    </w:pPr>
    <w:rPr>
      <w:sz w:val="18"/>
    </w:rPr>
  </w:style>
  <w:style w:type="paragraph" w:customStyle="1" w:styleId="a0">
    <w:name w:val="首示例"/>
    <w:next w:val="afff2"/>
    <w:link w:val="Char5"/>
    <w:qFormat/>
    <w:pPr>
      <w:numPr>
        <w:numId w:val="18"/>
      </w:numPr>
      <w:tabs>
        <w:tab w:val="left" w:pos="360"/>
      </w:tabs>
      <w:ind w:firstLine="0"/>
    </w:pPr>
    <w:rPr>
      <w:rFonts w:ascii="宋体" w:hAnsi="宋体"/>
      <w:kern w:val="2"/>
      <w:sz w:val="18"/>
      <w:szCs w:val="18"/>
    </w:rPr>
  </w:style>
  <w:style w:type="character" w:customStyle="1" w:styleId="Char5">
    <w:name w:val="首示例 Char"/>
    <w:link w:val="a0"/>
    <w:qFormat/>
    <w:rPr>
      <w:rFonts w:ascii="宋体" w:hAnsi="宋体"/>
      <w:kern w:val="2"/>
      <w:sz w:val="18"/>
      <w:szCs w:val="18"/>
    </w:rPr>
  </w:style>
  <w:style w:type="paragraph" w:customStyle="1" w:styleId="affffff7">
    <w:name w:val="四级无"/>
    <w:basedOn w:val="a8"/>
    <w:qFormat/>
    <w:pPr>
      <w:spacing w:beforeLines="0" w:before="0" w:afterLines="0" w:after="0"/>
    </w:pPr>
    <w:rPr>
      <w:rFonts w:ascii="宋体" w:eastAsia="宋体"/>
    </w:rPr>
  </w:style>
  <w:style w:type="paragraph" w:customStyle="1" w:styleId="affffff8">
    <w:name w:val="条文脚注"/>
    <w:basedOn w:val="af"/>
    <w:qFormat/>
    <w:pPr>
      <w:numPr>
        <w:numId w:val="0"/>
      </w:numPr>
      <w:jc w:val="both"/>
    </w:pPr>
  </w:style>
  <w:style w:type="paragraph" w:customStyle="1" w:styleId="affffff9">
    <w:name w:val="图标脚注说明"/>
    <w:basedOn w:val="afff2"/>
    <w:qFormat/>
    <w:pPr>
      <w:ind w:left="840" w:firstLineChars="0" w:hanging="420"/>
    </w:pPr>
    <w:rPr>
      <w:sz w:val="18"/>
      <w:szCs w:val="18"/>
    </w:rPr>
  </w:style>
  <w:style w:type="paragraph" w:customStyle="1" w:styleId="a2">
    <w:name w:val="图表脚注说明"/>
    <w:basedOn w:val="aff2"/>
    <w:qFormat/>
    <w:pPr>
      <w:numPr>
        <w:numId w:val="19"/>
      </w:numPr>
    </w:pPr>
    <w:rPr>
      <w:rFonts w:ascii="宋体"/>
      <w:sz w:val="18"/>
      <w:szCs w:val="18"/>
    </w:rPr>
  </w:style>
  <w:style w:type="paragraph" w:customStyle="1" w:styleId="affffffa">
    <w:name w:val="图的脚注"/>
    <w:next w:val="afff2"/>
    <w:qFormat/>
    <w:pPr>
      <w:widowControl w:val="0"/>
      <w:ind w:leftChars="200" w:left="840" w:hangingChars="200" w:hanging="420"/>
      <w:jc w:val="both"/>
    </w:pPr>
    <w:rPr>
      <w:rFonts w:ascii="宋体"/>
      <w:sz w:val="18"/>
    </w:rPr>
  </w:style>
  <w:style w:type="paragraph" w:customStyle="1" w:styleId="affffffb">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c">
    <w:name w:val="五级无"/>
    <w:basedOn w:val="a9"/>
    <w:qFormat/>
    <w:pPr>
      <w:spacing w:beforeLines="0" w:before="0" w:afterLines="0" w:after="0"/>
    </w:pPr>
    <w:rPr>
      <w:rFonts w:ascii="宋体" w:eastAsia="宋体"/>
    </w:rPr>
  </w:style>
  <w:style w:type="paragraph" w:customStyle="1" w:styleId="affffffd">
    <w:name w:val="一级无"/>
    <w:basedOn w:val="a5"/>
    <w:qFormat/>
    <w:pPr>
      <w:spacing w:beforeLines="0" w:before="0" w:afterLines="0" w:after="0"/>
    </w:pPr>
    <w:rPr>
      <w:rFonts w:ascii="宋体" w:eastAsia="宋体"/>
    </w:rPr>
  </w:style>
  <w:style w:type="paragraph" w:customStyle="1" w:styleId="af7">
    <w:name w:val="正文表标题"/>
    <w:next w:val="afff2"/>
    <w:qFormat/>
    <w:pPr>
      <w:numPr>
        <w:numId w:val="20"/>
      </w:numPr>
      <w:tabs>
        <w:tab w:val="left" w:pos="360"/>
      </w:tabs>
      <w:spacing w:beforeLines="50" w:before="156" w:afterLines="50" w:after="156"/>
      <w:jc w:val="center"/>
    </w:pPr>
    <w:rPr>
      <w:rFonts w:ascii="黑体" w:eastAsia="黑体"/>
      <w:sz w:val="21"/>
    </w:rPr>
  </w:style>
  <w:style w:type="paragraph" w:customStyle="1" w:styleId="affffffe">
    <w:name w:val="正文公式编号制表符"/>
    <w:basedOn w:val="afff2"/>
    <w:next w:val="afff2"/>
    <w:qFormat/>
    <w:pPr>
      <w:ind w:firstLineChars="0" w:firstLine="0"/>
    </w:pPr>
  </w:style>
  <w:style w:type="paragraph" w:customStyle="1" w:styleId="af4">
    <w:name w:val="正文图标题"/>
    <w:next w:val="afff2"/>
    <w:qFormat/>
    <w:pPr>
      <w:numPr>
        <w:numId w:val="21"/>
      </w:numPr>
      <w:tabs>
        <w:tab w:val="left" w:pos="360"/>
      </w:tabs>
      <w:spacing w:beforeLines="50" w:before="156" w:afterLines="50" w:after="156"/>
      <w:jc w:val="center"/>
    </w:pPr>
    <w:rPr>
      <w:rFonts w:ascii="黑体" w:eastAsia="黑体"/>
      <w:sz w:val="21"/>
    </w:rPr>
  </w:style>
  <w:style w:type="paragraph" w:customStyle="1" w:styleId="afffffff">
    <w:name w:val="终结线"/>
    <w:basedOn w:val="aff2"/>
    <w:qFormat/>
    <w:pPr>
      <w:framePr w:hSpace="181" w:vSpace="181" w:wrap="around" w:vAnchor="text" w:hAnchor="margin" w:xAlign="center" w:y="285"/>
    </w:pPr>
  </w:style>
  <w:style w:type="paragraph" w:customStyle="1" w:styleId="afffffff0">
    <w:name w:val="其他发布日期"/>
    <w:basedOn w:val="affffd"/>
    <w:qFormat/>
    <w:pPr>
      <w:framePr w:wrap="around" w:vAnchor="page" w:hAnchor="text" w:x="1419"/>
    </w:pPr>
  </w:style>
  <w:style w:type="paragraph" w:customStyle="1" w:styleId="afffffff1">
    <w:name w:val="其他实施日期"/>
    <w:basedOn w:val="affffff5"/>
    <w:qFormat/>
    <w:pPr>
      <w:framePr w:wrap="around"/>
    </w:pPr>
  </w:style>
  <w:style w:type="paragraph" w:customStyle="1" w:styleId="25">
    <w:name w:val="封面标准名称2"/>
    <w:basedOn w:val="afffff"/>
    <w:qFormat/>
    <w:pPr>
      <w:framePr w:wrap="around" w:y="4469"/>
      <w:spacing w:beforeLines="630" w:before="630"/>
    </w:pPr>
  </w:style>
  <w:style w:type="paragraph" w:customStyle="1" w:styleId="26">
    <w:name w:val="封面标准英文名称2"/>
    <w:basedOn w:val="afffff0"/>
    <w:qFormat/>
    <w:pPr>
      <w:framePr w:wrap="around" w:y="4469"/>
    </w:pPr>
  </w:style>
  <w:style w:type="paragraph" w:customStyle="1" w:styleId="27">
    <w:name w:val="封面一致性程度标识2"/>
    <w:basedOn w:val="afffff1"/>
    <w:qFormat/>
    <w:pPr>
      <w:framePr w:wrap="around" w:y="4469"/>
    </w:pPr>
  </w:style>
  <w:style w:type="paragraph" w:customStyle="1" w:styleId="28">
    <w:name w:val="封面标准文稿类别2"/>
    <w:basedOn w:val="afffff2"/>
    <w:qFormat/>
    <w:pPr>
      <w:framePr w:wrap="around" w:y="4469"/>
    </w:pPr>
  </w:style>
  <w:style w:type="paragraph" w:customStyle="1" w:styleId="29">
    <w:name w:val="封面标准文稿编辑信息2"/>
    <w:basedOn w:val="afffff3"/>
    <w:qFormat/>
    <w:pPr>
      <w:framePr w:wrap="around" w:y="4469"/>
    </w:pPr>
  </w:style>
  <w:style w:type="paragraph" w:customStyle="1" w:styleId="afffffff2">
    <w:name w:val="a"/>
    <w:basedOn w:val="aff2"/>
    <w:qFormat/>
    <w:pPr>
      <w:widowControl/>
      <w:spacing w:before="100" w:beforeAutospacing="1" w:after="100" w:afterAutospacing="1"/>
      <w:jc w:val="left"/>
    </w:pPr>
    <w:rPr>
      <w:rFonts w:ascii="宋体" w:hAnsi="宋体" w:cs="宋体"/>
      <w:kern w:val="0"/>
      <w:sz w:val="24"/>
    </w:rPr>
  </w:style>
  <w:style w:type="paragraph" w:customStyle="1" w:styleId="Bodytext231">
    <w:name w:val="Body text|231"/>
    <w:basedOn w:val="aff2"/>
    <w:link w:val="Bodytext2"/>
    <w:qFormat/>
    <w:pPr>
      <w:shd w:val="clear" w:color="auto" w:fill="FFFFFF"/>
      <w:spacing w:after="1660" w:line="206" w:lineRule="exact"/>
      <w:ind w:hanging="760"/>
    </w:pPr>
    <w:rPr>
      <w:rFonts w:ascii="PMingLiU" w:eastAsia="PMingLiU" w:hAnsi="PMingLiU" w:cs="PMingLiU"/>
      <w:spacing w:val="10"/>
      <w:sz w:val="17"/>
      <w:szCs w:val="17"/>
    </w:rPr>
  </w:style>
  <w:style w:type="character" w:customStyle="1" w:styleId="Bodytext2">
    <w:name w:val="Body text|2_"/>
    <w:link w:val="Bodytext231"/>
    <w:qFormat/>
    <w:rPr>
      <w:rFonts w:ascii="PMingLiU" w:eastAsia="PMingLiU" w:hAnsi="PMingLiU" w:cs="PMingLiU"/>
      <w:spacing w:val="10"/>
      <w:kern w:val="2"/>
      <w:sz w:val="17"/>
      <w:szCs w:val="17"/>
      <w:shd w:val="clear" w:color="auto" w:fill="FFFFFF"/>
    </w:rPr>
  </w:style>
  <w:style w:type="character" w:customStyle="1" w:styleId="1Char">
    <w:name w:val="标题 1 Char"/>
    <w:link w:val="1"/>
    <w:uiPriority w:val="99"/>
    <w:qFormat/>
    <w:rPr>
      <w:b/>
      <w:bCs/>
      <w:kern w:val="44"/>
      <w:sz w:val="44"/>
      <w:szCs w:val="44"/>
    </w:rPr>
  </w:style>
  <w:style w:type="character" w:customStyle="1" w:styleId="2Char">
    <w:name w:val="标题 2 Char"/>
    <w:link w:val="2"/>
    <w:qFormat/>
    <w:rPr>
      <w:rFonts w:ascii="Arial" w:eastAsia="黑体" w:hAnsi="Arial"/>
      <w:b/>
      <w:bCs/>
      <w:kern w:val="2"/>
      <w:sz w:val="32"/>
      <w:szCs w:val="32"/>
      <w:lang w:val="zh-CN"/>
    </w:rPr>
  </w:style>
  <w:style w:type="character" w:customStyle="1" w:styleId="3Char">
    <w:name w:val="标题 3 Char"/>
    <w:link w:val="3"/>
    <w:qFormat/>
    <w:rPr>
      <w:b/>
      <w:bCs/>
      <w:kern w:val="2"/>
      <w:sz w:val="32"/>
      <w:szCs w:val="32"/>
    </w:rPr>
  </w:style>
  <w:style w:type="character" w:customStyle="1" w:styleId="4Char">
    <w:name w:val="标题 4 Char"/>
    <w:link w:val="40"/>
    <w:uiPriority w:val="99"/>
    <w:qFormat/>
    <w:rPr>
      <w:rFonts w:ascii="Cambria" w:hAnsi="Cambria"/>
      <w:b/>
      <w:bCs/>
      <w:kern w:val="2"/>
      <w:sz w:val="28"/>
      <w:szCs w:val="28"/>
    </w:rPr>
  </w:style>
  <w:style w:type="character" w:customStyle="1" w:styleId="5Char">
    <w:name w:val="标题 5 Char"/>
    <w:link w:val="5"/>
    <w:uiPriority w:val="9"/>
    <w:qFormat/>
    <w:rPr>
      <w:b/>
      <w:bCs/>
      <w:kern w:val="2"/>
      <w:sz w:val="28"/>
      <w:szCs w:val="28"/>
    </w:rPr>
  </w:style>
  <w:style w:type="character" w:customStyle="1" w:styleId="6Char">
    <w:name w:val="标题 6 Char"/>
    <w:link w:val="6"/>
    <w:uiPriority w:val="9"/>
    <w:qFormat/>
    <w:rPr>
      <w:rFonts w:ascii="Cambria" w:hAnsi="Cambria"/>
      <w:b/>
      <w:bCs/>
      <w:kern w:val="2"/>
      <w:sz w:val="24"/>
      <w:szCs w:val="24"/>
    </w:rPr>
  </w:style>
  <w:style w:type="character" w:customStyle="1" w:styleId="7Char">
    <w:name w:val="标题 7 Char"/>
    <w:link w:val="7"/>
    <w:uiPriority w:val="9"/>
    <w:qFormat/>
    <w:rPr>
      <w:b/>
      <w:bCs/>
      <w:kern w:val="2"/>
      <w:sz w:val="24"/>
      <w:szCs w:val="24"/>
    </w:rPr>
  </w:style>
  <w:style w:type="character" w:customStyle="1" w:styleId="8Char">
    <w:name w:val="标题 8 Char"/>
    <w:link w:val="8"/>
    <w:uiPriority w:val="9"/>
    <w:qFormat/>
    <w:rPr>
      <w:rFonts w:ascii="Cambria" w:hAnsi="Cambria"/>
      <w:kern w:val="2"/>
      <w:sz w:val="24"/>
      <w:szCs w:val="24"/>
    </w:rPr>
  </w:style>
  <w:style w:type="character" w:customStyle="1" w:styleId="9Char">
    <w:name w:val="标题 9 Char"/>
    <w:link w:val="9"/>
    <w:uiPriority w:val="9"/>
    <w:qFormat/>
    <w:rPr>
      <w:rFonts w:ascii="Cambria" w:hAnsi="Cambria"/>
      <w:kern w:val="2"/>
      <w:sz w:val="21"/>
      <w:szCs w:val="21"/>
    </w:rPr>
  </w:style>
  <w:style w:type="character" w:customStyle="1" w:styleId="Bodytext29pt">
    <w:name w:val="Body text|2 + 9 pt"/>
    <w:semiHidden/>
    <w:unhideWhenUsed/>
    <w:qFormat/>
    <w:rPr>
      <w:rFonts w:ascii="PMingLiU" w:eastAsia="PMingLiU" w:hAnsi="PMingLiU" w:cs="PMingLiU"/>
      <w:color w:val="000000"/>
      <w:spacing w:val="0"/>
      <w:w w:val="100"/>
      <w:position w:val="0"/>
      <w:sz w:val="18"/>
      <w:szCs w:val="18"/>
      <w:shd w:val="clear" w:color="auto" w:fill="FFFFFF"/>
      <w:lang w:val="en-US" w:eastAsia="en-US" w:bidi="en-US"/>
    </w:rPr>
  </w:style>
  <w:style w:type="character" w:customStyle="1" w:styleId="afffffff3">
    <w:name w:val="批注文字 字符"/>
    <w:qFormat/>
    <w:rPr>
      <w:kern w:val="2"/>
      <w:sz w:val="21"/>
      <w:szCs w:val="24"/>
    </w:rPr>
  </w:style>
  <w:style w:type="character" w:customStyle="1" w:styleId="Char">
    <w:name w:val="批注文字 Char"/>
    <w:link w:val="affa"/>
    <w:uiPriority w:val="99"/>
    <w:qFormat/>
    <w:rPr>
      <w:kern w:val="2"/>
      <w:sz w:val="21"/>
      <w:szCs w:val="24"/>
    </w:rPr>
  </w:style>
  <w:style w:type="paragraph" w:customStyle="1" w:styleId="220">
    <w:name w:val="段22"/>
    <w:qFormat/>
    <w:pPr>
      <w:tabs>
        <w:tab w:val="center" w:pos="4201"/>
        <w:tab w:val="right" w:leader="dot" w:pos="9298"/>
      </w:tabs>
      <w:autoSpaceDE w:val="0"/>
      <w:autoSpaceDN w:val="0"/>
      <w:ind w:firstLineChars="200" w:firstLine="420"/>
      <w:jc w:val="both"/>
    </w:pPr>
    <w:rPr>
      <w:rFonts w:ascii="Calibri" w:hAnsi="Calibri"/>
      <w:sz w:val="21"/>
      <w:szCs w:val="22"/>
    </w:rPr>
  </w:style>
  <w:style w:type="paragraph" w:customStyle="1" w:styleId="16">
    <w:name w:val="字母编号列项（一级）16"/>
    <w:qFormat/>
    <w:pPr>
      <w:tabs>
        <w:tab w:val="left" w:pos="840"/>
      </w:tabs>
      <w:ind w:left="839" w:hanging="419"/>
      <w:jc w:val="both"/>
    </w:pPr>
    <w:rPr>
      <w:rFonts w:ascii="宋体" w:hAnsi="Calibri"/>
      <w:kern w:val="2"/>
      <w:sz w:val="21"/>
      <w:szCs w:val="22"/>
    </w:rPr>
  </w:style>
  <w:style w:type="character" w:customStyle="1" w:styleId="Char3">
    <w:name w:val="批注主题 Char"/>
    <w:link w:val="afff4"/>
    <w:qFormat/>
    <w:rPr>
      <w:b/>
      <w:bCs/>
      <w:kern w:val="2"/>
      <w:sz w:val="21"/>
      <w:szCs w:val="24"/>
    </w:rPr>
  </w:style>
  <w:style w:type="paragraph" w:customStyle="1" w:styleId="160">
    <w:name w:val="附录二级条标题16"/>
    <w:basedOn w:val="aff2"/>
    <w:next w:val="afff2"/>
    <w:qFormat/>
    <w:pPr>
      <w:tabs>
        <w:tab w:val="left" w:pos="360"/>
      </w:tabs>
      <w:wordWrap w:val="0"/>
      <w:overflowPunct w:val="0"/>
      <w:autoSpaceDE w:val="0"/>
      <w:autoSpaceDN w:val="0"/>
      <w:spacing w:beforeLines="50" w:afterLines="50"/>
      <w:textAlignment w:val="baseline"/>
      <w:outlineLvl w:val="3"/>
    </w:pPr>
    <w:rPr>
      <w:rFonts w:ascii="黑体" w:eastAsia="黑体" w:hAnsi="Calibri"/>
      <w:kern w:val="21"/>
      <w:szCs w:val="20"/>
    </w:rPr>
  </w:style>
  <w:style w:type="character" w:customStyle="1" w:styleId="Char1">
    <w:name w:val="页眉 Char"/>
    <w:link w:val="afff0"/>
    <w:qFormat/>
    <w:rPr>
      <w:kern w:val="2"/>
      <w:sz w:val="18"/>
      <w:szCs w:val="18"/>
    </w:rPr>
  </w:style>
  <w:style w:type="paragraph" w:customStyle="1" w:styleId="afffffff4">
    <w:name w:val="表格"/>
    <w:basedOn w:val="aff2"/>
    <w:link w:val="afffffff5"/>
    <w:qFormat/>
    <w:pPr>
      <w:snapToGrid w:val="0"/>
      <w:spacing w:beforeLines="20" w:before="62" w:afterLines="20" w:after="62" w:line="360" w:lineRule="auto"/>
      <w:jc w:val="center"/>
    </w:pPr>
    <w:rPr>
      <w:rFonts w:ascii="宋体" w:hAnsi="宋体"/>
      <w:sz w:val="18"/>
      <w:szCs w:val="18"/>
    </w:rPr>
  </w:style>
  <w:style w:type="paragraph" w:customStyle="1" w:styleId="110">
    <w:name w:val="表格11"/>
    <w:basedOn w:val="aff2"/>
    <w:link w:val="111"/>
    <w:qFormat/>
    <w:pPr>
      <w:jc w:val="center"/>
    </w:pPr>
    <w:rPr>
      <w:rFonts w:ascii="宋体" w:hAnsi="宋体"/>
      <w:sz w:val="18"/>
      <w:szCs w:val="18"/>
    </w:rPr>
  </w:style>
  <w:style w:type="character" w:customStyle="1" w:styleId="afffffff5">
    <w:name w:val="表格 字符"/>
    <w:basedOn w:val="aff4"/>
    <w:link w:val="afffffff4"/>
    <w:qFormat/>
    <w:rPr>
      <w:rFonts w:ascii="宋体" w:hAnsi="宋体"/>
      <w:kern w:val="2"/>
      <w:sz w:val="18"/>
      <w:szCs w:val="18"/>
    </w:rPr>
  </w:style>
  <w:style w:type="character" w:customStyle="1" w:styleId="111">
    <w:name w:val="表格11 字符"/>
    <w:basedOn w:val="aff4"/>
    <w:link w:val="110"/>
    <w:qFormat/>
    <w:rPr>
      <w:rFonts w:ascii="宋体" w:hAnsi="宋体"/>
      <w:kern w:val="2"/>
      <w:sz w:val="18"/>
      <w:szCs w:val="18"/>
    </w:rPr>
  </w:style>
  <w:style w:type="paragraph" w:customStyle="1" w:styleId="Bodytext20">
    <w:name w:val="Body text (2)"/>
    <w:basedOn w:val="aff2"/>
    <w:qFormat/>
    <w:pPr>
      <w:shd w:val="clear" w:color="auto" w:fill="FFFFFF"/>
      <w:spacing w:line="259" w:lineRule="exact"/>
      <w:ind w:hanging="380"/>
      <w:jc w:val="left"/>
    </w:pPr>
    <w:rPr>
      <w:rFonts w:ascii="Sylfaen" w:eastAsia="Sylfaen" w:hAnsi="Sylfaen" w:cs="Sylfaen"/>
      <w:kern w:val="0"/>
      <w:sz w:val="20"/>
      <w:szCs w:val="20"/>
    </w:rPr>
  </w:style>
  <w:style w:type="paragraph" w:customStyle="1" w:styleId="13">
    <w:name w:val="修订1"/>
    <w:hidden/>
    <w:uiPriority w:val="99"/>
    <w:unhideWhenUsed/>
    <w:qFormat/>
    <w:rPr>
      <w:kern w:val="2"/>
      <w:sz w:val="21"/>
      <w:szCs w:val="24"/>
    </w:rPr>
  </w:style>
  <w:style w:type="paragraph" w:customStyle="1" w:styleId="msolistparagraph0">
    <w:name w:val="msolistparagraph"/>
    <w:basedOn w:val="aff2"/>
    <w:qFormat/>
    <w:pPr>
      <w:widowControl/>
      <w:ind w:firstLine="420"/>
    </w:pPr>
    <w:rPr>
      <w:rFonts w:ascii="Calibri" w:hAnsi="Calibri"/>
      <w:kern w:val="0"/>
      <w:szCs w:val="21"/>
    </w:rPr>
  </w:style>
  <w:style w:type="paragraph" w:customStyle="1" w:styleId="2a">
    <w:name w:val="修订2"/>
    <w:hidden/>
    <w:uiPriority w:val="99"/>
    <w:unhideWhenUsed/>
    <w:qFormat/>
    <w:rPr>
      <w:kern w:val="2"/>
      <w:sz w:val="21"/>
      <w:szCs w:val="24"/>
    </w:rPr>
  </w:style>
  <w:style w:type="paragraph" w:customStyle="1" w:styleId="112">
    <w:name w:val="1 缩进段落1"/>
    <w:basedOn w:val="aff2"/>
    <w:qFormat/>
    <w:pPr>
      <w:spacing w:line="300" w:lineRule="auto"/>
      <w:ind w:firstLineChars="200" w:firstLine="480"/>
    </w:pPr>
    <w:rPr>
      <w:sz w:val="24"/>
    </w:rPr>
  </w:style>
  <w:style w:type="paragraph" w:customStyle="1" w:styleId="113">
    <w:name w:val="1 一级标题1"/>
    <w:basedOn w:val="aff2"/>
    <w:qFormat/>
    <w:pPr>
      <w:spacing w:line="300" w:lineRule="auto"/>
      <w:jc w:val="left"/>
      <w:outlineLvl w:val="2"/>
    </w:pPr>
    <w:rPr>
      <w:rFonts w:hAnsi="Arial" w:cs="Arial"/>
      <w:b/>
      <w:bCs/>
      <w:sz w:val="28"/>
      <w:szCs w:val="28"/>
    </w:rPr>
  </w:style>
  <w:style w:type="character" w:customStyle="1" w:styleId="fontstyle01">
    <w:name w:val="fontstyle01"/>
    <w:basedOn w:val="aff4"/>
    <w:qFormat/>
    <w:rPr>
      <w:rFonts w:ascii="宋体" w:eastAsia="宋体" w:hAnsi="宋体" w:cs="宋体"/>
      <w:color w:val="000000"/>
      <w:sz w:val="24"/>
      <w:szCs w:val="24"/>
    </w:rPr>
  </w:style>
  <w:style w:type="paragraph" w:styleId="afffffff6">
    <w:name w:val="List Paragraph"/>
    <w:basedOn w:val="aff2"/>
    <w:uiPriority w:val="34"/>
    <w:qFormat/>
    <w:pPr>
      <w:ind w:firstLineChars="200" w:firstLine="420"/>
    </w:pPr>
  </w:style>
  <w:style w:type="paragraph" w:styleId="afffffff7">
    <w:name w:val="Revision"/>
    <w:hidden/>
    <w:uiPriority w:val="99"/>
    <w:unhideWhenUsed/>
    <w:rsid w:val="00C831E1"/>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nhideWhenUsed="1" w:qFormat="1"/>
    <w:lsdException w:name="heading 4" w:uiPriority="9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unhideWhenUsed="1" w:qFormat="1"/>
    <w:lsdException w:name="header" w:qFormat="1"/>
    <w:lsdException w:name="footer" w:qFormat="1"/>
    <w:lsdException w:name="index heading" w:qFormat="1"/>
    <w:lsdException w:name="caption" w:qFormat="1"/>
    <w:lsdException w:name="footnote reference" w:semiHidden="1" w:qFormat="1"/>
    <w:lsdException w:name="annotation reference" w:unhideWhenUsed="1" w:qFormat="1"/>
    <w:lsdException w:name="page number" w:qFormat="1"/>
    <w:lsdException w:name="endnote reference" w:semiHidden="1" w:qFormat="1"/>
    <w:lsdException w:name="endnote text" w:semiHidden="1" w:qFormat="1"/>
    <w:lsdException w:name="List Bullet 2" w:qFormat="1"/>
    <w:lsdException w:name="List Bullet 4" w:unhideWhenUsed="1" w:qFormat="1"/>
    <w:lsdException w:name="Title" w:qFormat="1"/>
    <w:lsdException w:name="Default Paragraph Font" w:semiHidden="1" w:uiPriority="1" w:unhideWhenUsed="1"/>
    <w:lsdException w:name="Body Text" w:uiPriority="99" w:unhideWhenUsed="1" w:qFormat="1"/>
    <w:lsdException w:name="Body Text Indent" w:qFormat="1"/>
    <w:lsdException w:name="Subtitle" w:qFormat="1"/>
    <w:lsdException w:name="Body Text First Indent 2" w:qFormat="1"/>
    <w:lsdException w:name="Hyperlink" w:uiPriority="99" w:qFormat="1"/>
    <w:lsdException w:name="FollowedHyperlink" w:qFormat="1"/>
    <w:lsdException w:name="Strong" w:qFormat="1"/>
    <w:lsdException w:name="Emphasis" w:qFormat="1"/>
    <w:lsdException w:name="Document Map" w:semiHidden="1" w:qFormat="1"/>
    <w:lsdException w:name="Plain Text" w:unhideWhenUsed="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next w:val="aff3"/>
    <w:qFormat/>
    <w:pPr>
      <w:widowControl w:val="0"/>
      <w:jc w:val="both"/>
    </w:pPr>
    <w:rPr>
      <w:kern w:val="2"/>
      <w:sz w:val="21"/>
      <w:szCs w:val="24"/>
    </w:rPr>
  </w:style>
  <w:style w:type="paragraph" w:styleId="1">
    <w:name w:val="heading 1"/>
    <w:basedOn w:val="aff2"/>
    <w:next w:val="aff2"/>
    <w:link w:val="1Char"/>
    <w:uiPriority w:val="99"/>
    <w:qFormat/>
    <w:pPr>
      <w:keepNext/>
      <w:keepLines/>
      <w:numPr>
        <w:numId w:val="1"/>
      </w:numPr>
      <w:spacing w:before="340" w:after="330" w:line="578" w:lineRule="auto"/>
      <w:outlineLvl w:val="0"/>
    </w:pPr>
    <w:rPr>
      <w:b/>
      <w:bCs/>
      <w:kern w:val="44"/>
      <w:sz w:val="44"/>
      <w:szCs w:val="44"/>
    </w:rPr>
  </w:style>
  <w:style w:type="paragraph" w:styleId="2">
    <w:name w:val="heading 2"/>
    <w:basedOn w:val="aff2"/>
    <w:next w:val="aff2"/>
    <w:link w:val="2Char"/>
    <w:qFormat/>
    <w:pPr>
      <w:keepNext/>
      <w:keepLines/>
      <w:numPr>
        <w:ilvl w:val="1"/>
        <w:numId w:val="1"/>
      </w:numPr>
      <w:spacing w:before="260" w:after="260" w:line="416" w:lineRule="auto"/>
      <w:outlineLvl w:val="1"/>
    </w:pPr>
    <w:rPr>
      <w:rFonts w:ascii="Arial" w:eastAsia="黑体" w:hAnsi="Arial"/>
      <w:b/>
      <w:bCs/>
      <w:sz w:val="32"/>
      <w:szCs w:val="32"/>
      <w:lang w:val="zh-CN"/>
    </w:rPr>
  </w:style>
  <w:style w:type="paragraph" w:styleId="3">
    <w:name w:val="heading 3"/>
    <w:basedOn w:val="aff2"/>
    <w:next w:val="aff2"/>
    <w:link w:val="3Char"/>
    <w:unhideWhenUsed/>
    <w:qFormat/>
    <w:pPr>
      <w:keepNext/>
      <w:keepLines/>
      <w:numPr>
        <w:ilvl w:val="2"/>
        <w:numId w:val="1"/>
      </w:numPr>
      <w:spacing w:before="260" w:after="260" w:line="416" w:lineRule="auto"/>
      <w:outlineLvl w:val="2"/>
    </w:pPr>
    <w:rPr>
      <w:b/>
      <w:bCs/>
      <w:sz w:val="32"/>
      <w:szCs w:val="32"/>
    </w:rPr>
  </w:style>
  <w:style w:type="paragraph" w:styleId="40">
    <w:name w:val="heading 4"/>
    <w:basedOn w:val="aff2"/>
    <w:next w:val="aff2"/>
    <w:link w:val="4Char"/>
    <w:uiPriority w:val="99"/>
    <w:unhideWhenUsed/>
    <w:qFormat/>
    <w:pPr>
      <w:keepNext/>
      <w:keepLines/>
      <w:numPr>
        <w:ilvl w:val="3"/>
        <w:numId w:val="1"/>
      </w:numPr>
      <w:spacing w:before="280" w:after="290" w:line="376" w:lineRule="auto"/>
      <w:outlineLvl w:val="3"/>
    </w:pPr>
    <w:rPr>
      <w:rFonts w:ascii="Cambria" w:hAnsi="Cambria"/>
      <w:b/>
      <w:bCs/>
      <w:sz w:val="28"/>
      <w:szCs w:val="28"/>
    </w:rPr>
  </w:style>
  <w:style w:type="paragraph" w:styleId="5">
    <w:name w:val="heading 5"/>
    <w:basedOn w:val="aff2"/>
    <w:next w:val="aff2"/>
    <w:link w:val="5Char"/>
    <w:uiPriority w:val="9"/>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ff2"/>
    <w:next w:val="aff2"/>
    <w:link w:val="6Char"/>
    <w:uiPriority w:val="9"/>
    <w:unhideWhenUsed/>
    <w:qFormat/>
    <w:pPr>
      <w:keepNext/>
      <w:keepLines/>
      <w:numPr>
        <w:ilvl w:val="5"/>
        <w:numId w:val="1"/>
      </w:numPr>
      <w:spacing w:before="240" w:after="64" w:line="320" w:lineRule="auto"/>
      <w:outlineLvl w:val="5"/>
    </w:pPr>
    <w:rPr>
      <w:rFonts w:ascii="Cambria" w:hAnsi="Cambria"/>
      <w:b/>
      <w:bCs/>
      <w:sz w:val="24"/>
    </w:rPr>
  </w:style>
  <w:style w:type="paragraph" w:styleId="7">
    <w:name w:val="heading 7"/>
    <w:basedOn w:val="aff2"/>
    <w:next w:val="aff2"/>
    <w:link w:val="7Char"/>
    <w:uiPriority w:val="9"/>
    <w:unhideWhenUsed/>
    <w:qFormat/>
    <w:pPr>
      <w:keepNext/>
      <w:keepLines/>
      <w:numPr>
        <w:ilvl w:val="6"/>
        <w:numId w:val="1"/>
      </w:numPr>
      <w:spacing w:before="240" w:after="64" w:line="320" w:lineRule="auto"/>
      <w:outlineLvl w:val="6"/>
    </w:pPr>
    <w:rPr>
      <w:b/>
      <w:bCs/>
      <w:sz w:val="24"/>
    </w:rPr>
  </w:style>
  <w:style w:type="paragraph" w:styleId="8">
    <w:name w:val="heading 8"/>
    <w:basedOn w:val="aff2"/>
    <w:next w:val="aff2"/>
    <w:link w:val="8Char"/>
    <w:uiPriority w:val="9"/>
    <w:unhideWhenUsed/>
    <w:qFormat/>
    <w:pPr>
      <w:keepNext/>
      <w:keepLines/>
      <w:numPr>
        <w:ilvl w:val="7"/>
        <w:numId w:val="1"/>
      </w:numPr>
      <w:spacing w:before="240" w:after="64" w:line="320" w:lineRule="auto"/>
      <w:outlineLvl w:val="7"/>
    </w:pPr>
    <w:rPr>
      <w:rFonts w:ascii="Cambria" w:hAnsi="Cambria"/>
      <w:sz w:val="24"/>
    </w:rPr>
  </w:style>
  <w:style w:type="paragraph" w:styleId="9">
    <w:name w:val="heading 9"/>
    <w:basedOn w:val="aff2"/>
    <w:next w:val="aff2"/>
    <w:link w:val="9Char"/>
    <w:uiPriority w:val="9"/>
    <w:unhideWhenUsed/>
    <w:qFormat/>
    <w:pPr>
      <w:keepNext/>
      <w:keepLines/>
      <w:numPr>
        <w:ilvl w:val="8"/>
        <w:numId w:val="1"/>
      </w:numPr>
      <w:spacing w:before="240" w:after="64" w:line="320" w:lineRule="auto"/>
      <w:outlineLvl w:val="8"/>
    </w:pPr>
    <w:rPr>
      <w:rFonts w:ascii="Cambria" w:hAnsi="Cambria"/>
      <w:szCs w:val="21"/>
    </w:rPr>
  </w:style>
  <w:style w:type="character" w:default="1" w:styleId="aff4">
    <w:name w:val="Default Paragraph Font"/>
    <w:uiPriority w:val="1"/>
    <w:semiHidden/>
    <w:unhideWhenUsed/>
  </w:style>
  <w:style w:type="table" w:default="1" w:styleId="aff5">
    <w:name w:val="Normal Table"/>
    <w:uiPriority w:val="99"/>
    <w:semiHidden/>
    <w:unhideWhenUsed/>
    <w:tblPr>
      <w:tblInd w:w="0" w:type="dxa"/>
      <w:tblCellMar>
        <w:top w:w="0" w:type="dxa"/>
        <w:left w:w="108" w:type="dxa"/>
        <w:bottom w:w="0" w:type="dxa"/>
        <w:right w:w="108" w:type="dxa"/>
      </w:tblCellMar>
    </w:tblPr>
  </w:style>
  <w:style w:type="numbering" w:default="1" w:styleId="aff6">
    <w:name w:val="No List"/>
    <w:uiPriority w:val="99"/>
    <w:semiHidden/>
    <w:unhideWhenUsed/>
  </w:style>
  <w:style w:type="paragraph" w:styleId="aff3">
    <w:name w:val="Body Text"/>
    <w:basedOn w:val="aff2"/>
    <w:next w:val="aff7"/>
    <w:uiPriority w:val="99"/>
    <w:unhideWhenUsed/>
    <w:qFormat/>
    <w:pPr>
      <w:autoSpaceDE w:val="0"/>
      <w:autoSpaceDN w:val="0"/>
      <w:adjustRightInd w:val="0"/>
      <w:jc w:val="center"/>
    </w:pPr>
  </w:style>
  <w:style w:type="paragraph" w:styleId="aff7">
    <w:name w:val="Title"/>
    <w:basedOn w:val="aff2"/>
    <w:next w:val="aff2"/>
    <w:qFormat/>
    <w:pPr>
      <w:spacing w:before="240" w:after="60"/>
      <w:jc w:val="center"/>
      <w:outlineLvl w:val="0"/>
    </w:pPr>
    <w:rPr>
      <w:rFonts w:ascii="Arial" w:hAnsi="Arial" w:cs="Arial"/>
      <w:b/>
      <w:bCs/>
      <w:sz w:val="32"/>
      <w:szCs w:val="32"/>
    </w:rPr>
  </w:style>
  <w:style w:type="paragraph" w:styleId="70">
    <w:name w:val="toc 7"/>
    <w:basedOn w:val="aff2"/>
    <w:next w:val="aff2"/>
    <w:semiHidden/>
    <w:qFormat/>
    <w:pPr>
      <w:tabs>
        <w:tab w:val="right" w:leader="dot" w:pos="9241"/>
      </w:tabs>
      <w:ind w:firstLineChars="500" w:firstLine="505"/>
      <w:jc w:val="left"/>
    </w:pPr>
    <w:rPr>
      <w:rFonts w:ascii="宋体"/>
      <w:szCs w:val="21"/>
    </w:rPr>
  </w:style>
  <w:style w:type="paragraph" w:styleId="4">
    <w:name w:val="List Bullet 4"/>
    <w:basedOn w:val="aff2"/>
    <w:unhideWhenUsed/>
    <w:qFormat/>
    <w:pPr>
      <w:numPr>
        <w:numId w:val="2"/>
      </w:numPr>
      <w:contextualSpacing/>
    </w:pPr>
  </w:style>
  <w:style w:type="paragraph" w:styleId="80">
    <w:name w:val="index 8"/>
    <w:basedOn w:val="aff2"/>
    <w:next w:val="aff2"/>
    <w:qFormat/>
    <w:pPr>
      <w:ind w:left="1680" w:hanging="210"/>
      <w:jc w:val="left"/>
    </w:pPr>
    <w:rPr>
      <w:rFonts w:ascii="Calibri" w:hAnsi="Calibri"/>
      <w:sz w:val="20"/>
      <w:szCs w:val="20"/>
    </w:rPr>
  </w:style>
  <w:style w:type="paragraph" w:styleId="aff8">
    <w:name w:val="caption"/>
    <w:basedOn w:val="aff2"/>
    <w:next w:val="aff2"/>
    <w:qFormat/>
    <w:pPr>
      <w:keepNext/>
      <w:spacing w:beforeLines="50" w:before="50" w:afterLines="50" w:after="50"/>
      <w:jc w:val="center"/>
    </w:pPr>
    <w:rPr>
      <w:rFonts w:ascii="黑体" w:eastAsia="黑体" w:hAnsi="黑体" w:cs="Arial"/>
      <w:szCs w:val="21"/>
    </w:rPr>
  </w:style>
  <w:style w:type="paragraph" w:styleId="50">
    <w:name w:val="index 5"/>
    <w:basedOn w:val="aff2"/>
    <w:next w:val="aff2"/>
    <w:qFormat/>
    <w:pPr>
      <w:ind w:left="1050" w:hanging="210"/>
      <w:jc w:val="left"/>
    </w:pPr>
    <w:rPr>
      <w:rFonts w:ascii="Calibri" w:hAnsi="Calibri"/>
      <w:sz w:val="20"/>
      <w:szCs w:val="20"/>
    </w:rPr>
  </w:style>
  <w:style w:type="paragraph" w:styleId="aff9">
    <w:name w:val="Document Map"/>
    <w:basedOn w:val="aff2"/>
    <w:semiHidden/>
    <w:qFormat/>
    <w:pPr>
      <w:shd w:val="clear" w:color="auto" w:fill="000080"/>
    </w:pPr>
  </w:style>
  <w:style w:type="paragraph" w:styleId="affa">
    <w:name w:val="annotation text"/>
    <w:basedOn w:val="aff2"/>
    <w:link w:val="Char"/>
    <w:unhideWhenUsed/>
    <w:qFormat/>
    <w:pPr>
      <w:jc w:val="left"/>
    </w:pPr>
  </w:style>
  <w:style w:type="paragraph" w:styleId="60">
    <w:name w:val="index 6"/>
    <w:basedOn w:val="aff2"/>
    <w:next w:val="aff2"/>
    <w:qFormat/>
    <w:pPr>
      <w:ind w:left="1260" w:hanging="210"/>
      <w:jc w:val="left"/>
    </w:pPr>
    <w:rPr>
      <w:rFonts w:ascii="Calibri" w:hAnsi="Calibri"/>
      <w:sz w:val="20"/>
      <w:szCs w:val="20"/>
    </w:rPr>
  </w:style>
  <w:style w:type="paragraph" w:styleId="affb">
    <w:name w:val="Body Text Indent"/>
    <w:basedOn w:val="aff2"/>
    <w:qFormat/>
    <w:pPr>
      <w:spacing w:after="120"/>
      <w:ind w:leftChars="200" w:left="420"/>
    </w:pPr>
  </w:style>
  <w:style w:type="paragraph" w:styleId="20">
    <w:name w:val="List Bullet 2"/>
    <w:basedOn w:val="aff2"/>
    <w:qFormat/>
    <w:pPr>
      <w:numPr>
        <w:numId w:val="3"/>
      </w:numPr>
    </w:pPr>
  </w:style>
  <w:style w:type="paragraph" w:styleId="41">
    <w:name w:val="index 4"/>
    <w:basedOn w:val="aff2"/>
    <w:next w:val="aff2"/>
    <w:qFormat/>
    <w:pPr>
      <w:ind w:left="840" w:hanging="210"/>
      <w:jc w:val="left"/>
    </w:pPr>
    <w:rPr>
      <w:rFonts w:ascii="Calibri" w:hAnsi="Calibri"/>
      <w:sz w:val="20"/>
      <w:szCs w:val="20"/>
    </w:rPr>
  </w:style>
  <w:style w:type="paragraph" w:styleId="51">
    <w:name w:val="toc 5"/>
    <w:basedOn w:val="aff2"/>
    <w:next w:val="aff2"/>
    <w:semiHidden/>
    <w:qFormat/>
    <w:pPr>
      <w:tabs>
        <w:tab w:val="right" w:leader="dot" w:pos="9241"/>
      </w:tabs>
      <w:ind w:firstLineChars="300" w:firstLine="300"/>
      <w:jc w:val="left"/>
    </w:pPr>
    <w:rPr>
      <w:rFonts w:ascii="宋体"/>
      <w:szCs w:val="21"/>
    </w:rPr>
  </w:style>
  <w:style w:type="paragraph" w:styleId="30">
    <w:name w:val="toc 3"/>
    <w:basedOn w:val="aff2"/>
    <w:next w:val="aff2"/>
    <w:uiPriority w:val="39"/>
    <w:qFormat/>
    <w:pPr>
      <w:tabs>
        <w:tab w:val="right" w:leader="dot" w:pos="9241"/>
      </w:tabs>
      <w:ind w:firstLineChars="100" w:firstLine="102"/>
      <w:jc w:val="left"/>
    </w:pPr>
    <w:rPr>
      <w:rFonts w:ascii="宋体"/>
      <w:szCs w:val="21"/>
    </w:rPr>
  </w:style>
  <w:style w:type="paragraph" w:styleId="affc">
    <w:name w:val="Plain Text"/>
    <w:basedOn w:val="aff2"/>
    <w:unhideWhenUsed/>
    <w:qFormat/>
    <w:rPr>
      <w:rFonts w:asciiTheme="minorEastAsia" w:eastAsiaTheme="minorEastAsia" w:hAnsi="Courier New" w:cs="Courier New"/>
    </w:rPr>
  </w:style>
  <w:style w:type="paragraph" w:styleId="81">
    <w:name w:val="toc 8"/>
    <w:basedOn w:val="aff2"/>
    <w:next w:val="aff2"/>
    <w:semiHidden/>
    <w:qFormat/>
    <w:pPr>
      <w:tabs>
        <w:tab w:val="right" w:leader="dot" w:pos="9241"/>
      </w:tabs>
      <w:ind w:firstLineChars="600" w:firstLine="607"/>
      <w:jc w:val="left"/>
    </w:pPr>
    <w:rPr>
      <w:rFonts w:ascii="宋体"/>
      <w:szCs w:val="21"/>
    </w:rPr>
  </w:style>
  <w:style w:type="paragraph" w:styleId="31">
    <w:name w:val="index 3"/>
    <w:basedOn w:val="aff2"/>
    <w:next w:val="aff2"/>
    <w:qFormat/>
    <w:pPr>
      <w:ind w:left="630" w:hanging="210"/>
      <w:jc w:val="left"/>
    </w:pPr>
    <w:rPr>
      <w:rFonts w:ascii="Calibri" w:hAnsi="Calibri"/>
      <w:sz w:val="20"/>
      <w:szCs w:val="20"/>
    </w:rPr>
  </w:style>
  <w:style w:type="paragraph" w:styleId="affd">
    <w:name w:val="endnote text"/>
    <w:basedOn w:val="aff2"/>
    <w:semiHidden/>
    <w:qFormat/>
    <w:pPr>
      <w:snapToGrid w:val="0"/>
      <w:jc w:val="left"/>
    </w:pPr>
  </w:style>
  <w:style w:type="paragraph" w:styleId="affe">
    <w:name w:val="Balloon Text"/>
    <w:basedOn w:val="aff2"/>
    <w:link w:val="Char0"/>
    <w:qFormat/>
    <w:rPr>
      <w:sz w:val="18"/>
      <w:szCs w:val="18"/>
    </w:rPr>
  </w:style>
  <w:style w:type="paragraph" w:styleId="afff">
    <w:name w:val="footer"/>
    <w:basedOn w:val="aff2"/>
    <w:qFormat/>
    <w:pPr>
      <w:snapToGrid w:val="0"/>
      <w:ind w:rightChars="100" w:right="210"/>
      <w:jc w:val="right"/>
    </w:pPr>
    <w:rPr>
      <w:sz w:val="18"/>
      <w:szCs w:val="18"/>
    </w:rPr>
  </w:style>
  <w:style w:type="paragraph" w:styleId="afff0">
    <w:name w:val="header"/>
    <w:basedOn w:val="aff2"/>
    <w:link w:val="Char1"/>
    <w:qFormat/>
    <w:pPr>
      <w:snapToGrid w:val="0"/>
      <w:jc w:val="left"/>
    </w:pPr>
    <w:rPr>
      <w:sz w:val="18"/>
      <w:szCs w:val="18"/>
    </w:rPr>
  </w:style>
  <w:style w:type="paragraph" w:styleId="10">
    <w:name w:val="toc 1"/>
    <w:basedOn w:val="aff2"/>
    <w:next w:val="aff2"/>
    <w:uiPriority w:val="39"/>
    <w:qFormat/>
    <w:pPr>
      <w:tabs>
        <w:tab w:val="right" w:leader="dot" w:pos="9241"/>
      </w:tabs>
      <w:spacing w:beforeLines="25" w:before="25" w:afterLines="25" w:after="25"/>
      <w:jc w:val="left"/>
    </w:pPr>
    <w:rPr>
      <w:rFonts w:ascii="宋体"/>
      <w:szCs w:val="21"/>
    </w:rPr>
  </w:style>
  <w:style w:type="paragraph" w:styleId="42">
    <w:name w:val="toc 4"/>
    <w:basedOn w:val="aff2"/>
    <w:next w:val="aff2"/>
    <w:semiHidden/>
    <w:qFormat/>
    <w:pPr>
      <w:tabs>
        <w:tab w:val="right" w:leader="dot" w:pos="9241"/>
      </w:tabs>
      <w:ind w:firstLineChars="200" w:firstLine="198"/>
      <w:jc w:val="left"/>
    </w:pPr>
    <w:rPr>
      <w:rFonts w:ascii="宋体"/>
      <w:szCs w:val="21"/>
    </w:rPr>
  </w:style>
  <w:style w:type="paragraph" w:styleId="afff1">
    <w:name w:val="index heading"/>
    <w:basedOn w:val="aff2"/>
    <w:next w:val="11"/>
    <w:qFormat/>
    <w:pPr>
      <w:spacing w:before="120" w:after="120"/>
      <w:jc w:val="center"/>
    </w:pPr>
    <w:rPr>
      <w:rFonts w:ascii="Calibri" w:hAnsi="Calibri"/>
      <w:b/>
      <w:bCs/>
      <w:iCs/>
      <w:szCs w:val="20"/>
    </w:rPr>
  </w:style>
  <w:style w:type="paragraph" w:styleId="11">
    <w:name w:val="index 1"/>
    <w:basedOn w:val="aff2"/>
    <w:next w:val="afff2"/>
    <w:qFormat/>
    <w:pPr>
      <w:tabs>
        <w:tab w:val="right" w:leader="dot" w:pos="9299"/>
      </w:tabs>
      <w:jc w:val="left"/>
    </w:pPr>
    <w:rPr>
      <w:rFonts w:ascii="宋体"/>
      <w:szCs w:val="21"/>
    </w:rPr>
  </w:style>
  <w:style w:type="paragraph" w:customStyle="1" w:styleId="afff2">
    <w:name w:val="段"/>
    <w:link w:val="Char2"/>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pPr>
      <w:numPr>
        <w:numId w:val="4"/>
      </w:numPr>
      <w:snapToGrid w:val="0"/>
      <w:jc w:val="left"/>
    </w:pPr>
    <w:rPr>
      <w:rFonts w:ascii="宋体"/>
      <w:sz w:val="18"/>
      <w:szCs w:val="18"/>
    </w:rPr>
  </w:style>
  <w:style w:type="paragraph" w:styleId="61">
    <w:name w:val="toc 6"/>
    <w:basedOn w:val="aff2"/>
    <w:next w:val="aff2"/>
    <w:semiHidden/>
    <w:qFormat/>
    <w:pPr>
      <w:tabs>
        <w:tab w:val="right" w:leader="dot" w:pos="9241"/>
      </w:tabs>
      <w:ind w:firstLineChars="400" w:firstLine="403"/>
      <w:jc w:val="left"/>
    </w:pPr>
    <w:rPr>
      <w:rFonts w:ascii="宋体"/>
      <w:szCs w:val="21"/>
    </w:rPr>
  </w:style>
  <w:style w:type="paragraph" w:styleId="71">
    <w:name w:val="index 7"/>
    <w:basedOn w:val="aff2"/>
    <w:next w:val="aff2"/>
    <w:qFormat/>
    <w:pPr>
      <w:ind w:left="1470" w:hanging="210"/>
      <w:jc w:val="left"/>
    </w:pPr>
    <w:rPr>
      <w:rFonts w:ascii="Calibri" w:hAnsi="Calibri"/>
      <w:sz w:val="20"/>
      <w:szCs w:val="20"/>
    </w:rPr>
  </w:style>
  <w:style w:type="paragraph" w:styleId="90">
    <w:name w:val="index 9"/>
    <w:basedOn w:val="aff2"/>
    <w:next w:val="aff2"/>
    <w:qFormat/>
    <w:pPr>
      <w:ind w:left="1890" w:hanging="210"/>
      <w:jc w:val="left"/>
    </w:pPr>
    <w:rPr>
      <w:rFonts w:ascii="Calibri" w:hAnsi="Calibri"/>
      <w:sz w:val="20"/>
      <w:szCs w:val="20"/>
    </w:rPr>
  </w:style>
  <w:style w:type="paragraph" w:styleId="21">
    <w:name w:val="toc 2"/>
    <w:basedOn w:val="aff2"/>
    <w:next w:val="aff2"/>
    <w:uiPriority w:val="39"/>
    <w:qFormat/>
    <w:pPr>
      <w:tabs>
        <w:tab w:val="right" w:leader="dot" w:pos="9241"/>
      </w:tabs>
    </w:pPr>
    <w:rPr>
      <w:rFonts w:ascii="宋体"/>
      <w:szCs w:val="21"/>
    </w:rPr>
  </w:style>
  <w:style w:type="paragraph" w:styleId="91">
    <w:name w:val="toc 9"/>
    <w:basedOn w:val="aff2"/>
    <w:next w:val="aff2"/>
    <w:semiHidden/>
    <w:qFormat/>
    <w:pPr>
      <w:ind w:left="1470"/>
      <w:jc w:val="left"/>
    </w:pPr>
    <w:rPr>
      <w:sz w:val="20"/>
      <w:szCs w:val="20"/>
    </w:rPr>
  </w:style>
  <w:style w:type="paragraph" w:styleId="afff3">
    <w:name w:val="Normal (Web)"/>
    <w:basedOn w:val="aff2"/>
    <w:qFormat/>
    <w:pPr>
      <w:jc w:val="left"/>
    </w:pPr>
    <w:rPr>
      <w:kern w:val="0"/>
      <w:sz w:val="24"/>
    </w:rPr>
  </w:style>
  <w:style w:type="paragraph" w:styleId="22">
    <w:name w:val="index 2"/>
    <w:basedOn w:val="aff2"/>
    <w:next w:val="aff2"/>
    <w:qFormat/>
    <w:pPr>
      <w:ind w:left="420" w:hanging="210"/>
      <w:jc w:val="left"/>
    </w:pPr>
    <w:rPr>
      <w:rFonts w:ascii="Calibri" w:hAnsi="Calibri"/>
      <w:sz w:val="20"/>
      <w:szCs w:val="20"/>
    </w:rPr>
  </w:style>
  <w:style w:type="paragraph" w:styleId="afff4">
    <w:name w:val="annotation subject"/>
    <w:basedOn w:val="affa"/>
    <w:next w:val="affa"/>
    <w:link w:val="Char3"/>
    <w:qFormat/>
    <w:rPr>
      <w:b/>
      <w:bCs/>
    </w:rPr>
  </w:style>
  <w:style w:type="paragraph" w:styleId="23">
    <w:name w:val="Body Text First Indent 2"/>
    <w:basedOn w:val="affb"/>
    <w:qFormat/>
    <w:pPr>
      <w:ind w:firstLineChars="200" w:firstLine="420"/>
    </w:pPr>
  </w:style>
  <w:style w:type="table" w:styleId="afff5">
    <w:name w:val="Table Grid"/>
    <w:basedOn w:val="aff5"/>
    <w:uiPriority w:val="59"/>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6">
    <w:name w:val="Strong"/>
    <w:basedOn w:val="aff4"/>
    <w:qFormat/>
    <w:rPr>
      <w:b/>
    </w:rPr>
  </w:style>
  <w:style w:type="character" w:styleId="afff7">
    <w:name w:val="endnote reference"/>
    <w:semiHidden/>
    <w:qFormat/>
    <w:rPr>
      <w:vertAlign w:val="superscript"/>
    </w:rPr>
  </w:style>
  <w:style w:type="character" w:styleId="afff8">
    <w:name w:val="page number"/>
    <w:qFormat/>
    <w:rPr>
      <w:rFonts w:ascii="Times New Roman" w:eastAsia="宋体" w:hAnsi="Times New Roman"/>
      <w:sz w:val="18"/>
    </w:rPr>
  </w:style>
  <w:style w:type="character" w:styleId="afff9">
    <w:name w:val="FollowedHyperlink"/>
    <w:qFormat/>
    <w:rPr>
      <w:color w:val="800080"/>
      <w:u w:val="single"/>
    </w:rPr>
  </w:style>
  <w:style w:type="character" w:styleId="afffa">
    <w:name w:val="Emphasis"/>
    <w:basedOn w:val="aff4"/>
    <w:qFormat/>
    <w:rPr>
      <w:i/>
    </w:rPr>
  </w:style>
  <w:style w:type="character" w:styleId="afffb">
    <w:name w:val="Hyperlink"/>
    <w:uiPriority w:val="99"/>
    <w:qFormat/>
    <w:rPr>
      <w:color w:val="0000FF"/>
      <w:spacing w:val="0"/>
      <w:w w:val="100"/>
      <w:szCs w:val="21"/>
      <w:u w:val="single"/>
      <w:lang w:val="en-US" w:eastAsia="zh-CN"/>
    </w:rPr>
  </w:style>
  <w:style w:type="character" w:styleId="afffc">
    <w:name w:val="annotation reference"/>
    <w:unhideWhenUsed/>
    <w:qFormat/>
    <w:rPr>
      <w:sz w:val="21"/>
      <w:szCs w:val="21"/>
    </w:rPr>
  </w:style>
  <w:style w:type="character" w:styleId="afffd">
    <w:name w:val="footnote reference"/>
    <w:semiHidden/>
    <w:qFormat/>
    <w:rPr>
      <w:vertAlign w:val="superscript"/>
    </w:rPr>
  </w:style>
  <w:style w:type="character" w:customStyle="1" w:styleId="Char0">
    <w:name w:val="批注框文本 Char"/>
    <w:link w:val="affe"/>
    <w:qFormat/>
    <w:rPr>
      <w:kern w:val="2"/>
      <w:sz w:val="18"/>
      <w:szCs w:val="18"/>
    </w:rPr>
  </w:style>
  <w:style w:type="character" w:customStyle="1" w:styleId="Char2">
    <w:name w:val="段 Char"/>
    <w:link w:val="afff2"/>
    <w:qFormat/>
    <w:rPr>
      <w:rFonts w:ascii="宋体"/>
      <w:sz w:val="21"/>
    </w:rPr>
  </w:style>
  <w:style w:type="paragraph" w:customStyle="1" w:styleId="a5">
    <w:name w:val="一级条标题"/>
    <w:next w:val="afff2"/>
    <w:qFormat/>
    <w:pPr>
      <w:numPr>
        <w:ilvl w:val="1"/>
        <w:numId w:val="5"/>
      </w:numPr>
      <w:spacing w:beforeLines="50" w:before="156" w:afterLines="50" w:after="156"/>
      <w:outlineLvl w:val="2"/>
    </w:pPr>
    <w:rPr>
      <w:rFonts w:ascii="黑体" w:eastAsia="黑体"/>
      <w:sz w:val="21"/>
      <w:szCs w:val="21"/>
    </w:rPr>
  </w:style>
  <w:style w:type="paragraph" w:customStyle="1" w:styleId="afffe">
    <w:name w:val="标准书脚_奇数页"/>
    <w:qFormat/>
    <w:pPr>
      <w:spacing w:before="120"/>
      <w:ind w:right="198"/>
      <w:jc w:val="right"/>
    </w:pPr>
    <w:rPr>
      <w:rFonts w:ascii="宋体"/>
      <w:sz w:val="18"/>
      <w:szCs w:val="18"/>
    </w:rPr>
  </w:style>
  <w:style w:type="paragraph" w:customStyle="1" w:styleId="affff">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4">
    <w:name w:val="章标题"/>
    <w:next w:val="afff2"/>
    <w:qFormat/>
    <w:pPr>
      <w:numPr>
        <w:numId w:val="5"/>
      </w:numPr>
      <w:spacing w:beforeLines="100" w:before="312" w:afterLines="100" w:after="312"/>
      <w:jc w:val="both"/>
      <w:outlineLvl w:val="1"/>
    </w:pPr>
    <w:rPr>
      <w:rFonts w:ascii="黑体" w:eastAsia="黑体"/>
      <w:sz w:val="21"/>
    </w:rPr>
  </w:style>
  <w:style w:type="paragraph" w:customStyle="1" w:styleId="a6">
    <w:name w:val="二级条标题"/>
    <w:basedOn w:val="a5"/>
    <w:next w:val="afff2"/>
    <w:qFormat/>
    <w:pPr>
      <w:numPr>
        <w:ilvl w:val="2"/>
      </w:numPr>
      <w:spacing w:before="50" w:after="50"/>
      <w:outlineLvl w:val="3"/>
    </w:pPr>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pPr>
      <w:widowControl w:val="0"/>
      <w:numPr>
        <w:numId w:val="6"/>
      </w:numPr>
      <w:jc w:val="both"/>
    </w:pPr>
    <w:rPr>
      <w:rFonts w:ascii="宋体"/>
      <w:sz w:val="21"/>
    </w:rPr>
  </w:style>
  <w:style w:type="paragraph" w:customStyle="1" w:styleId="ad">
    <w:name w:val="列项●（二级）"/>
    <w:qFormat/>
    <w:pPr>
      <w:numPr>
        <w:ilvl w:val="1"/>
        <w:numId w:val="6"/>
      </w:numPr>
      <w:tabs>
        <w:tab w:val="left" w:pos="840"/>
      </w:tabs>
      <w:jc w:val="both"/>
    </w:pPr>
    <w:rPr>
      <w:rFonts w:ascii="宋体"/>
      <w:sz w:val="21"/>
    </w:rPr>
  </w:style>
  <w:style w:type="paragraph" w:customStyle="1" w:styleId="affff0">
    <w:name w:val="目次、标准名称标题"/>
    <w:basedOn w:val="aff2"/>
    <w:next w:val="afff2"/>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f2"/>
    <w:qFormat/>
    <w:pPr>
      <w:numPr>
        <w:ilvl w:val="3"/>
      </w:numPr>
      <w:outlineLvl w:val="4"/>
    </w:pPr>
  </w:style>
  <w:style w:type="paragraph" w:customStyle="1" w:styleId="a1">
    <w:name w:val="示例"/>
    <w:next w:val="affff1"/>
    <w:qFormat/>
    <w:pPr>
      <w:widowControl w:val="0"/>
      <w:numPr>
        <w:numId w:val="7"/>
      </w:numPr>
      <w:jc w:val="both"/>
    </w:pPr>
    <w:rPr>
      <w:rFonts w:ascii="宋体"/>
      <w:sz w:val="18"/>
      <w:szCs w:val="18"/>
    </w:rPr>
  </w:style>
  <w:style w:type="paragraph" w:customStyle="1" w:styleId="affff1">
    <w:name w:val="示例内容"/>
    <w:qFormat/>
    <w:pPr>
      <w:ind w:firstLineChars="200" w:firstLine="200"/>
    </w:pPr>
    <w:rPr>
      <w:rFonts w:ascii="宋体"/>
      <w:sz w:val="18"/>
      <w:szCs w:val="18"/>
    </w:rPr>
  </w:style>
  <w:style w:type="paragraph" w:customStyle="1" w:styleId="af1">
    <w:name w:val="数字编号列项（二级）"/>
    <w:qFormat/>
    <w:pPr>
      <w:numPr>
        <w:ilvl w:val="1"/>
        <w:numId w:val="8"/>
      </w:numPr>
      <w:jc w:val="both"/>
    </w:pPr>
    <w:rPr>
      <w:rFonts w:ascii="宋体"/>
      <w:sz w:val="21"/>
    </w:rPr>
  </w:style>
  <w:style w:type="paragraph" w:customStyle="1" w:styleId="a8">
    <w:name w:val="四级条标题"/>
    <w:basedOn w:val="a7"/>
    <w:next w:val="afff2"/>
    <w:qFormat/>
    <w:pPr>
      <w:numPr>
        <w:ilvl w:val="4"/>
      </w:numPr>
      <w:ind w:left="0"/>
      <w:outlineLvl w:val="5"/>
    </w:pPr>
  </w:style>
  <w:style w:type="paragraph" w:customStyle="1" w:styleId="a9">
    <w:name w:val="五级条标题"/>
    <w:basedOn w:val="a8"/>
    <w:next w:val="afff2"/>
    <w:qFormat/>
    <w:pPr>
      <w:numPr>
        <w:ilvl w:val="5"/>
      </w:numPr>
      <w:outlineLvl w:val="6"/>
    </w:pPr>
  </w:style>
  <w:style w:type="paragraph" w:customStyle="1" w:styleId="aff1">
    <w:name w:val="注："/>
    <w:next w:val="afff2"/>
    <w:qFormat/>
    <w:pPr>
      <w:widowControl w:val="0"/>
      <w:numPr>
        <w:numId w:val="9"/>
      </w:numPr>
      <w:autoSpaceDE w:val="0"/>
      <w:autoSpaceDN w:val="0"/>
      <w:jc w:val="both"/>
    </w:pPr>
    <w:rPr>
      <w:rFonts w:ascii="宋体"/>
      <w:sz w:val="18"/>
      <w:szCs w:val="18"/>
    </w:rPr>
  </w:style>
  <w:style w:type="paragraph" w:customStyle="1" w:styleId="a">
    <w:name w:val="注×："/>
    <w:qFormat/>
    <w:pPr>
      <w:widowControl w:val="0"/>
      <w:numPr>
        <w:numId w:val="10"/>
      </w:numPr>
      <w:autoSpaceDE w:val="0"/>
      <w:autoSpaceDN w:val="0"/>
      <w:jc w:val="both"/>
    </w:pPr>
    <w:rPr>
      <w:rFonts w:ascii="宋体"/>
      <w:sz w:val="18"/>
      <w:szCs w:val="18"/>
    </w:rPr>
  </w:style>
  <w:style w:type="paragraph" w:customStyle="1" w:styleId="af0">
    <w:name w:val="字母编号列项（一级）"/>
    <w:qFormat/>
    <w:pPr>
      <w:numPr>
        <w:numId w:val="11"/>
      </w:numPr>
      <w:jc w:val="both"/>
    </w:pPr>
    <w:rPr>
      <w:rFonts w:ascii="宋体"/>
      <w:sz w:val="21"/>
    </w:rPr>
  </w:style>
  <w:style w:type="paragraph" w:customStyle="1" w:styleId="ae">
    <w:name w:val="列项◆（三级）"/>
    <w:basedOn w:val="aff2"/>
    <w:qFormat/>
    <w:pPr>
      <w:numPr>
        <w:ilvl w:val="2"/>
        <w:numId w:val="6"/>
      </w:numPr>
    </w:pPr>
    <w:rPr>
      <w:rFonts w:ascii="宋体"/>
      <w:szCs w:val="21"/>
    </w:rPr>
  </w:style>
  <w:style w:type="paragraph" w:customStyle="1" w:styleId="af2">
    <w:name w:val="编号列项（三级）"/>
    <w:qFormat/>
    <w:pPr>
      <w:numPr>
        <w:ilvl w:val="2"/>
        <w:numId w:val="8"/>
      </w:numPr>
    </w:pPr>
    <w:rPr>
      <w:rFonts w:ascii="宋体"/>
      <w:sz w:val="21"/>
    </w:rPr>
  </w:style>
  <w:style w:type="paragraph" w:customStyle="1" w:styleId="af3">
    <w:name w:val="示例×："/>
    <w:basedOn w:val="a4"/>
    <w:qFormat/>
    <w:pPr>
      <w:numPr>
        <w:numId w:val="12"/>
      </w:numPr>
      <w:spacing w:beforeLines="0" w:before="0" w:afterLines="0" w:after="0"/>
      <w:outlineLvl w:val="9"/>
    </w:pPr>
    <w:rPr>
      <w:rFonts w:ascii="宋体" w:eastAsia="宋体"/>
      <w:sz w:val="18"/>
      <w:szCs w:val="18"/>
    </w:rPr>
  </w:style>
  <w:style w:type="paragraph" w:customStyle="1" w:styleId="affff2">
    <w:name w:val="二级无"/>
    <w:basedOn w:val="a6"/>
    <w:qFormat/>
    <w:pPr>
      <w:spacing w:beforeLines="0" w:before="0" w:afterLines="0" w:after="0"/>
    </w:pPr>
    <w:rPr>
      <w:rFonts w:ascii="宋体" w:eastAsia="宋体"/>
    </w:rPr>
  </w:style>
  <w:style w:type="paragraph" w:customStyle="1" w:styleId="affff3">
    <w:name w:val="注：（正文）"/>
    <w:basedOn w:val="aff1"/>
    <w:next w:val="afff2"/>
    <w:qFormat/>
  </w:style>
  <w:style w:type="paragraph" w:customStyle="1" w:styleId="a3">
    <w:name w:val="注×：（正文）"/>
    <w:qFormat/>
    <w:pPr>
      <w:numPr>
        <w:numId w:val="13"/>
      </w:numPr>
      <w:jc w:val="both"/>
    </w:pPr>
    <w:rPr>
      <w:rFonts w:ascii="宋体"/>
      <w:sz w:val="18"/>
      <w:szCs w:val="18"/>
    </w:rPr>
  </w:style>
  <w:style w:type="paragraph" w:customStyle="1" w:styleId="affff4">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5">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6">
    <w:name w:val="标准书脚_偶数页"/>
    <w:qFormat/>
    <w:pPr>
      <w:spacing w:before="120"/>
      <w:ind w:left="221"/>
    </w:pPr>
    <w:rPr>
      <w:rFonts w:ascii="宋体"/>
      <w:sz w:val="18"/>
      <w:szCs w:val="18"/>
    </w:rPr>
  </w:style>
  <w:style w:type="paragraph" w:customStyle="1" w:styleId="affff7">
    <w:name w:val="标准书眉_偶数页"/>
    <w:basedOn w:val="affff"/>
    <w:next w:val="aff2"/>
    <w:qFormat/>
    <w:pPr>
      <w:jc w:val="left"/>
    </w:pPr>
  </w:style>
  <w:style w:type="paragraph" w:customStyle="1" w:styleId="affff8">
    <w:name w:val="标准书眉一"/>
    <w:qFormat/>
    <w:pPr>
      <w:jc w:val="both"/>
    </w:pPr>
  </w:style>
  <w:style w:type="paragraph" w:customStyle="1" w:styleId="affff9">
    <w:name w:val="参考文献"/>
    <w:basedOn w:val="aff2"/>
    <w:next w:val="afff2"/>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a">
    <w:name w:val="参考文献、索引标题"/>
    <w:basedOn w:val="aff2"/>
    <w:next w:val="afff2"/>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b">
    <w:name w:val="发布"/>
    <w:qFormat/>
    <w:rPr>
      <w:rFonts w:ascii="黑体" w:eastAsia="黑体"/>
      <w:spacing w:val="85"/>
      <w:w w:val="100"/>
      <w:position w:val="3"/>
      <w:sz w:val="28"/>
      <w:szCs w:val="28"/>
    </w:rPr>
  </w:style>
  <w:style w:type="paragraph" w:customStyle="1" w:styleId="affffc">
    <w:name w:val="发布部门"/>
    <w:next w:val="afff2"/>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d">
    <w:name w:val="发布日期"/>
    <w:qFormat/>
    <w:pPr>
      <w:framePr w:w="3997" w:h="471" w:hRule="exact" w:vSpace="181" w:wrap="around" w:hAnchor="page" w:x="7089" w:y="14097" w:anchorLock="1"/>
    </w:pPr>
    <w:rPr>
      <w:rFonts w:eastAsia="黑体"/>
      <w:sz w:val="28"/>
    </w:rPr>
  </w:style>
  <w:style w:type="paragraph" w:customStyle="1" w:styleId="affffe">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0">
    <w:name w:val="封面标准英文名称"/>
    <w:basedOn w:val="afffff"/>
    <w:qFormat/>
    <w:pPr>
      <w:framePr w:wrap="around"/>
      <w:spacing w:before="370" w:line="400" w:lineRule="exact"/>
    </w:pPr>
    <w:rPr>
      <w:rFonts w:ascii="Times New Roman"/>
      <w:sz w:val="28"/>
      <w:szCs w:val="28"/>
    </w:rPr>
  </w:style>
  <w:style w:type="paragraph" w:customStyle="1" w:styleId="afffff1">
    <w:name w:val="封面一致性程度标识"/>
    <w:basedOn w:val="afffff0"/>
    <w:qFormat/>
    <w:pPr>
      <w:framePr w:wrap="around"/>
      <w:spacing w:before="440"/>
    </w:pPr>
    <w:rPr>
      <w:rFonts w:ascii="宋体" w:eastAsia="宋体"/>
    </w:rPr>
  </w:style>
  <w:style w:type="paragraph" w:customStyle="1" w:styleId="afffff2">
    <w:name w:val="封面标准文稿类别"/>
    <w:basedOn w:val="afffff1"/>
    <w:qFormat/>
    <w:pPr>
      <w:framePr w:wrap="around"/>
      <w:spacing w:after="160" w:line="240" w:lineRule="auto"/>
    </w:pPr>
    <w:rPr>
      <w:sz w:val="24"/>
    </w:rPr>
  </w:style>
  <w:style w:type="paragraph" w:customStyle="1" w:styleId="afffff3">
    <w:name w:val="封面标准文稿编辑信息"/>
    <w:basedOn w:val="afffff2"/>
    <w:qFormat/>
    <w:pPr>
      <w:framePr w:wrap="around"/>
      <w:spacing w:before="180" w:line="180" w:lineRule="exact"/>
    </w:pPr>
    <w:rPr>
      <w:sz w:val="21"/>
    </w:rPr>
  </w:style>
  <w:style w:type="paragraph" w:customStyle="1" w:styleId="afffff4">
    <w:name w:val="封面正文"/>
    <w:qFormat/>
    <w:pPr>
      <w:jc w:val="both"/>
    </w:pPr>
  </w:style>
  <w:style w:type="paragraph" w:customStyle="1" w:styleId="af8">
    <w:name w:val="附录标识"/>
    <w:basedOn w:val="aff2"/>
    <w:next w:val="afff2"/>
    <w:qFormat/>
    <w:pPr>
      <w:keepNext/>
      <w:widowControl/>
      <w:numPr>
        <w:numId w:val="1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5">
    <w:name w:val="附录标题"/>
    <w:basedOn w:val="afff2"/>
    <w:next w:val="afff2"/>
    <w:qFormat/>
    <w:pPr>
      <w:ind w:firstLineChars="0" w:firstLine="0"/>
      <w:jc w:val="center"/>
    </w:pPr>
    <w:rPr>
      <w:rFonts w:ascii="黑体" w:eastAsia="黑体"/>
    </w:rPr>
  </w:style>
  <w:style w:type="paragraph" w:customStyle="1" w:styleId="af5">
    <w:name w:val="附录表标号"/>
    <w:basedOn w:val="aff2"/>
    <w:next w:val="afff2"/>
    <w:qFormat/>
    <w:pPr>
      <w:numPr>
        <w:numId w:val="15"/>
      </w:numPr>
      <w:tabs>
        <w:tab w:val="clear" w:pos="0"/>
      </w:tabs>
      <w:spacing w:line="14" w:lineRule="exact"/>
      <w:ind w:left="811" w:hanging="448"/>
      <w:jc w:val="center"/>
      <w:outlineLvl w:val="0"/>
    </w:pPr>
    <w:rPr>
      <w:color w:val="FFFFFF"/>
    </w:rPr>
  </w:style>
  <w:style w:type="paragraph" w:customStyle="1" w:styleId="af6">
    <w:name w:val="附录表标题"/>
    <w:basedOn w:val="aff2"/>
    <w:next w:val="afff2"/>
    <w:qFormat/>
    <w:pPr>
      <w:numPr>
        <w:ilvl w:val="1"/>
        <w:numId w:val="15"/>
      </w:numPr>
      <w:tabs>
        <w:tab w:val="left"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f2"/>
    <w:qFormat/>
    <w:pPr>
      <w:widowControl/>
      <w:numPr>
        <w:ilvl w:val="3"/>
        <w:numId w:val="14"/>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6">
    <w:name w:val="附录二级无"/>
    <w:basedOn w:val="afb"/>
    <w:qFormat/>
    <w:pPr>
      <w:tabs>
        <w:tab w:val="clear" w:pos="360"/>
      </w:tabs>
      <w:spacing w:beforeLines="0" w:before="0" w:afterLines="0" w:after="0"/>
    </w:pPr>
    <w:rPr>
      <w:rFonts w:ascii="宋体" w:eastAsia="宋体"/>
      <w:szCs w:val="21"/>
    </w:rPr>
  </w:style>
  <w:style w:type="paragraph" w:customStyle="1" w:styleId="afffff7">
    <w:name w:val="附录公式"/>
    <w:basedOn w:val="afff2"/>
    <w:next w:val="afff2"/>
    <w:link w:val="Char4"/>
    <w:qFormat/>
  </w:style>
  <w:style w:type="character" w:customStyle="1" w:styleId="Char4">
    <w:name w:val="附录公式 Char"/>
    <w:link w:val="afffff7"/>
    <w:qFormat/>
    <w:rPr>
      <w:lang w:val="en-US" w:eastAsia="zh-CN" w:bidi="ar-SA"/>
    </w:rPr>
  </w:style>
  <w:style w:type="paragraph" w:customStyle="1" w:styleId="afffff8">
    <w:name w:val="附录公式编号制表符"/>
    <w:basedOn w:val="aff2"/>
    <w:next w:val="afff2"/>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f2"/>
    <w:qFormat/>
    <w:pPr>
      <w:numPr>
        <w:ilvl w:val="4"/>
      </w:numPr>
      <w:outlineLvl w:val="4"/>
    </w:pPr>
  </w:style>
  <w:style w:type="paragraph" w:customStyle="1" w:styleId="afffff9">
    <w:name w:val="附录三级无"/>
    <w:basedOn w:val="afc"/>
    <w:qFormat/>
    <w:pPr>
      <w:tabs>
        <w:tab w:val="clear" w:pos="360"/>
      </w:tabs>
      <w:spacing w:beforeLines="0" w:before="0" w:afterLines="0" w:after="0"/>
    </w:pPr>
    <w:rPr>
      <w:rFonts w:ascii="宋体" w:eastAsia="宋体"/>
      <w:szCs w:val="21"/>
    </w:rPr>
  </w:style>
  <w:style w:type="paragraph" w:customStyle="1" w:styleId="aff0">
    <w:name w:val="附录数字编号列项（二级）"/>
    <w:qFormat/>
    <w:pPr>
      <w:numPr>
        <w:ilvl w:val="1"/>
        <w:numId w:val="16"/>
      </w:numPr>
    </w:pPr>
    <w:rPr>
      <w:rFonts w:ascii="宋体"/>
      <w:sz w:val="21"/>
    </w:rPr>
  </w:style>
  <w:style w:type="paragraph" w:customStyle="1" w:styleId="afd">
    <w:name w:val="附录四级条标题"/>
    <w:basedOn w:val="afc"/>
    <w:next w:val="afff2"/>
    <w:qFormat/>
    <w:pPr>
      <w:numPr>
        <w:ilvl w:val="5"/>
      </w:numPr>
      <w:outlineLvl w:val="5"/>
    </w:pPr>
  </w:style>
  <w:style w:type="paragraph" w:customStyle="1" w:styleId="afffffa">
    <w:name w:val="附录四级无"/>
    <w:basedOn w:val="afd"/>
    <w:qFormat/>
    <w:pPr>
      <w:tabs>
        <w:tab w:val="clear" w:pos="360"/>
      </w:tabs>
      <w:spacing w:beforeLines="0" w:before="0" w:afterLines="0" w:after="0"/>
    </w:pPr>
    <w:rPr>
      <w:rFonts w:ascii="宋体" w:eastAsia="宋体"/>
      <w:szCs w:val="21"/>
    </w:rPr>
  </w:style>
  <w:style w:type="paragraph" w:customStyle="1" w:styleId="aa">
    <w:name w:val="附录图标号"/>
    <w:basedOn w:val="aff2"/>
    <w:qFormat/>
    <w:pPr>
      <w:keepNext/>
      <w:pageBreakBefore/>
      <w:widowControl/>
      <w:numPr>
        <w:numId w:val="17"/>
      </w:numPr>
      <w:spacing w:line="14" w:lineRule="exact"/>
      <w:ind w:left="0" w:firstLine="363"/>
      <w:jc w:val="center"/>
      <w:outlineLvl w:val="0"/>
    </w:pPr>
    <w:rPr>
      <w:color w:val="FFFFFF"/>
    </w:rPr>
  </w:style>
  <w:style w:type="paragraph" w:customStyle="1" w:styleId="ab">
    <w:name w:val="附录图标题"/>
    <w:basedOn w:val="aff2"/>
    <w:next w:val="afff2"/>
    <w:qFormat/>
    <w:pPr>
      <w:numPr>
        <w:ilvl w:val="1"/>
        <w:numId w:val="17"/>
      </w:numPr>
      <w:tabs>
        <w:tab w:val="left"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f2"/>
    <w:qFormat/>
    <w:pPr>
      <w:numPr>
        <w:ilvl w:val="6"/>
      </w:numPr>
      <w:outlineLvl w:val="6"/>
    </w:pPr>
  </w:style>
  <w:style w:type="paragraph" w:customStyle="1" w:styleId="afffffb">
    <w:name w:val="附录五级无"/>
    <w:basedOn w:val="afe"/>
    <w:qFormat/>
    <w:pPr>
      <w:tabs>
        <w:tab w:val="clear" w:pos="360"/>
      </w:tabs>
      <w:spacing w:beforeLines="0" w:before="0" w:afterLines="0" w:after="0"/>
    </w:pPr>
    <w:rPr>
      <w:rFonts w:ascii="宋体" w:eastAsia="宋体"/>
      <w:szCs w:val="21"/>
    </w:rPr>
  </w:style>
  <w:style w:type="paragraph" w:customStyle="1" w:styleId="af9">
    <w:name w:val="附录章标题"/>
    <w:next w:val="afff2"/>
    <w:qFormat/>
    <w:pPr>
      <w:numPr>
        <w:ilvl w:val="1"/>
        <w:numId w:val="14"/>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f2"/>
    <w:qFormat/>
    <w:pPr>
      <w:numPr>
        <w:ilvl w:val="2"/>
      </w:numPr>
      <w:autoSpaceDN w:val="0"/>
      <w:spacing w:beforeLines="50" w:before="50" w:afterLines="50" w:after="50"/>
      <w:outlineLvl w:val="2"/>
    </w:pPr>
  </w:style>
  <w:style w:type="paragraph" w:customStyle="1" w:styleId="afffffc">
    <w:name w:val="附录一级无"/>
    <w:basedOn w:val="afa"/>
    <w:qFormat/>
    <w:pPr>
      <w:tabs>
        <w:tab w:val="clear" w:pos="360"/>
      </w:tabs>
      <w:spacing w:beforeLines="0" w:before="0" w:afterLines="0" w:after="0"/>
    </w:pPr>
    <w:rPr>
      <w:rFonts w:ascii="宋体" w:eastAsia="宋体"/>
      <w:szCs w:val="21"/>
    </w:rPr>
  </w:style>
  <w:style w:type="paragraph" w:customStyle="1" w:styleId="aff">
    <w:name w:val="附录字母编号列项（一级）"/>
    <w:qFormat/>
    <w:pPr>
      <w:numPr>
        <w:numId w:val="16"/>
      </w:numPr>
    </w:pPr>
    <w:rPr>
      <w:rFonts w:ascii="宋体"/>
      <w:sz w:val="21"/>
    </w:rPr>
  </w:style>
  <w:style w:type="paragraph" w:customStyle="1" w:styleId="afffffd">
    <w:name w:val="列项说明"/>
    <w:basedOn w:val="aff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e">
    <w:name w:val="列项说明数字编号"/>
    <w:qFormat/>
    <w:pPr>
      <w:ind w:leftChars="400" w:left="600" w:hangingChars="200" w:hanging="200"/>
    </w:pPr>
    <w:rPr>
      <w:rFonts w:ascii="宋体"/>
      <w:sz w:val="21"/>
    </w:rPr>
  </w:style>
  <w:style w:type="paragraph" w:customStyle="1" w:styleId="affffff">
    <w:name w:val="目次、索引正文"/>
    <w:qFormat/>
    <w:pPr>
      <w:spacing w:line="320" w:lineRule="exact"/>
      <w:jc w:val="both"/>
    </w:pPr>
    <w:rPr>
      <w:rFonts w:ascii="宋体"/>
      <w:sz w:val="21"/>
    </w:rPr>
  </w:style>
  <w:style w:type="paragraph" w:customStyle="1" w:styleId="affffff0">
    <w:name w:val="其他标准标志"/>
    <w:basedOn w:val="affff4"/>
    <w:qFormat/>
    <w:pPr>
      <w:framePr w:w="6101" w:wrap="around" w:vAnchor="page" w:hAnchor="page" w:x="4673" w:y="942"/>
    </w:pPr>
    <w:rPr>
      <w:w w:val="130"/>
    </w:rPr>
  </w:style>
  <w:style w:type="paragraph" w:customStyle="1" w:styleId="affffff1">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2">
    <w:name w:val="其他发布部门"/>
    <w:basedOn w:val="affffc"/>
    <w:qFormat/>
    <w:pPr>
      <w:framePr w:wrap="around" w:y="15310"/>
      <w:spacing w:line="0" w:lineRule="atLeast"/>
    </w:pPr>
    <w:rPr>
      <w:rFonts w:ascii="黑体" w:eastAsia="黑体"/>
      <w:b w:val="0"/>
    </w:rPr>
  </w:style>
  <w:style w:type="paragraph" w:customStyle="1" w:styleId="affffff3">
    <w:name w:val="前言、引言标题"/>
    <w:next w:val="afff2"/>
    <w:qFormat/>
    <w:pPr>
      <w:keepNext/>
      <w:pageBreakBefore/>
      <w:shd w:val="clear" w:color="FFFFFF" w:fill="FFFFFF"/>
      <w:spacing w:before="640" w:after="560"/>
      <w:jc w:val="center"/>
      <w:outlineLvl w:val="0"/>
    </w:pPr>
    <w:rPr>
      <w:rFonts w:ascii="黑体" w:eastAsia="黑体"/>
      <w:sz w:val="32"/>
    </w:rPr>
  </w:style>
  <w:style w:type="paragraph" w:customStyle="1" w:styleId="affffff4">
    <w:name w:val="三级无"/>
    <w:basedOn w:val="a7"/>
    <w:qFormat/>
    <w:pPr>
      <w:spacing w:beforeLines="0" w:before="0" w:afterLines="0" w:after="0"/>
    </w:pPr>
    <w:rPr>
      <w:rFonts w:ascii="宋体" w:eastAsia="宋体"/>
    </w:rPr>
  </w:style>
  <w:style w:type="paragraph" w:customStyle="1" w:styleId="affffff5">
    <w:name w:val="实施日期"/>
    <w:basedOn w:val="affffd"/>
    <w:qFormat/>
    <w:pPr>
      <w:framePr w:wrap="around" w:vAnchor="page" w:hAnchor="text"/>
      <w:jc w:val="right"/>
    </w:pPr>
  </w:style>
  <w:style w:type="paragraph" w:customStyle="1" w:styleId="affffff6">
    <w:name w:val="示例后文字"/>
    <w:basedOn w:val="afff2"/>
    <w:next w:val="afff2"/>
    <w:qFormat/>
    <w:pPr>
      <w:ind w:firstLine="360"/>
    </w:pPr>
    <w:rPr>
      <w:sz w:val="18"/>
    </w:rPr>
  </w:style>
  <w:style w:type="paragraph" w:customStyle="1" w:styleId="a0">
    <w:name w:val="首示例"/>
    <w:next w:val="afff2"/>
    <w:link w:val="Char5"/>
    <w:qFormat/>
    <w:pPr>
      <w:numPr>
        <w:numId w:val="18"/>
      </w:numPr>
      <w:tabs>
        <w:tab w:val="left" w:pos="360"/>
      </w:tabs>
      <w:ind w:firstLine="0"/>
    </w:pPr>
    <w:rPr>
      <w:rFonts w:ascii="宋体" w:hAnsi="宋体"/>
      <w:kern w:val="2"/>
      <w:sz w:val="18"/>
      <w:szCs w:val="18"/>
    </w:rPr>
  </w:style>
  <w:style w:type="character" w:customStyle="1" w:styleId="Char5">
    <w:name w:val="首示例 Char"/>
    <w:link w:val="a0"/>
    <w:qFormat/>
    <w:rPr>
      <w:rFonts w:ascii="宋体" w:hAnsi="宋体"/>
      <w:kern w:val="2"/>
      <w:sz w:val="18"/>
      <w:szCs w:val="18"/>
    </w:rPr>
  </w:style>
  <w:style w:type="paragraph" w:customStyle="1" w:styleId="affffff7">
    <w:name w:val="四级无"/>
    <w:basedOn w:val="a8"/>
    <w:qFormat/>
    <w:pPr>
      <w:spacing w:beforeLines="0" w:before="0" w:afterLines="0" w:after="0"/>
    </w:pPr>
    <w:rPr>
      <w:rFonts w:ascii="宋体" w:eastAsia="宋体"/>
    </w:rPr>
  </w:style>
  <w:style w:type="paragraph" w:customStyle="1" w:styleId="affffff8">
    <w:name w:val="条文脚注"/>
    <w:basedOn w:val="af"/>
    <w:qFormat/>
    <w:pPr>
      <w:numPr>
        <w:numId w:val="0"/>
      </w:numPr>
      <w:jc w:val="both"/>
    </w:pPr>
  </w:style>
  <w:style w:type="paragraph" w:customStyle="1" w:styleId="affffff9">
    <w:name w:val="图标脚注说明"/>
    <w:basedOn w:val="afff2"/>
    <w:qFormat/>
    <w:pPr>
      <w:ind w:left="840" w:firstLineChars="0" w:hanging="420"/>
    </w:pPr>
    <w:rPr>
      <w:sz w:val="18"/>
      <w:szCs w:val="18"/>
    </w:rPr>
  </w:style>
  <w:style w:type="paragraph" w:customStyle="1" w:styleId="a2">
    <w:name w:val="图表脚注说明"/>
    <w:basedOn w:val="aff2"/>
    <w:qFormat/>
    <w:pPr>
      <w:numPr>
        <w:numId w:val="19"/>
      </w:numPr>
    </w:pPr>
    <w:rPr>
      <w:rFonts w:ascii="宋体"/>
      <w:sz w:val="18"/>
      <w:szCs w:val="18"/>
    </w:rPr>
  </w:style>
  <w:style w:type="paragraph" w:customStyle="1" w:styleId="affffffa">
    <w:name w:val="图的脚注"/>
    <w:next w:val="afff2"/>
    <w:qFormat/>
    <w:pPr>
      <w:widowControl w:val="0"/>
      <w:ind w:leftChars="200" w:left="840" w:hangingChars="200" w:hanging="420"/>
      <w:jc w:val="both"/>
    </w:pPr>
    <w:rPr>
      <w:rFonts w:ascii="宋体"/>
      <w:sz w:val="18"/>
    </w:rPr>
  </w:style>
  <w:style w:type="paragraph" w:customStyle="1" w:styleId="affffffb">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c">
    <w:name w:val="五级无"/>
    <w:basedOn w:val="a9"/>
    <w:qFormat/>
    <w:pPr>
      <w:spacing w:beforeLines="0" w:before="0" w:afterLines="0" w:after="0"/>
    </w:pPr>
    <w:rPr>
      <w:rFonts w:ascii="宋体" w:eastAsia="宋体"/>
    </w:rPr>
  </w:style>
  <w:style w:type="paragraph" w:customStyle="1" w:styleId="affffffd">
    <w:name w:val="一级无"/>
    <w:basedOn w:val="a5"/>
    <w:qFormat/>
    <w:pPr>
      <w:spacing w:beforeLines="0" w:before="0" w:afterLines="0" w:after="0"/>
    </w:pPr>
    <w:rPr>
      <w:rFonts w:ascii="宋体" w:eastAsia="宋体"/>
    </w:rPr>
  </w:style>
  <w:style w:type="paragraph" w:customStyle="1" w:styleId="af7">
    <w:name w:val="正文表标题"/>
    <w:next w:val="afff2"/>
    <w:qFormat/>
    <w:pPr>
      <w:numPr>
        <w:numId w:val="20"/>
      </w:numPr>
      <w:tabs>
        <w:tab w:val="left" w:pos="360"/>
      </w:tabs>
      <w:spacing w:beforeLines="50" w:before="156" w:afterLines="50" w:after="156"/>
      <w:jc w:val="center"/>
    </w:pPr>
    <w:rPr>
      <w:rFonts w:ascii="黑体" w:eastAsia="黑体"/>
      <w:sz w:val="21"/>
    </w:rPr>
  </w:style>
  <w:style w:type="paragraph" w:customStyle="1" w:styleId="affffffe">
    <w:name w:val="正文公式编号制表符"/>
    <w:basedOn w:val="afff2"/>
    <w:next w:val="afff2"/>
    <w:qFormat/>
    <w:pPr>
      <w:ind w:firstLineChars="0" w:firstLine="0"/>
    </w:pPr>
  </w:style>
  <w:style w:type="paragraph" w:customStyle="1" w:styleId="af4">
    <w:name w:val="正文图标题"/>
    <w:next w:val="afff2"/>
    <w:qFormat/>
    <w:pPr>
      <w:numPr>
        <w:numId w:val="21"/>
      </w:numPr>
      <w:tabs>
        <w:tab w:val="left" w:pos="360"/>
      </w:tabs>
      <w:spacing w:beforeLines="50" w:before="156" w:afterLines="50" w:after="156"/>
      <w:jc w:val="center"/>
    </w:pPr>
    <w:rPr>
      <w:rFonts w:ascii="黑体" w:eastAsia="黑体"/>
      <w:sz w:val="21"/>
    </w:rPr>
  </w:style>
  <w:style w:type="paragraph" w:customStyle="1" w:styleId="afffffff">
    <w:name w:val="终结线"/>
    <w:basedOn w:val="aff2"/>
    <w:qFormat/>
    <w:pPr>
      <w:framePr w:hSpace="181" w:vSpace="181" w:wrap="around" w:vAnchor="text" w:hAnchor="margin" w:xAlign="center" w:y="285"/>
    </w:pPr>
  </w:style>
  <w:style w:type="paragraph" w:customStyle="1" w:styleId="afffffff0">
    <w:name w:val="其他发布日期"/>
    <w:basedOn w:val="affffd"/>
    <w:qFormat/>
    <w:pPr>
      <w:framePr w:wrap="around" w:vAnchor="page" w:hAnchor="text" w:x="1419"/>
    </w:pPr>
  </w:style>
  <w:style w:type="paragraph" w:customStyle="1" w:styleId="afffffff1">
    <w:name w:val="其他实施日期"/>
    <w:basedOn w:val="affffff5"/>
    <w:qFormat/>
    <w:pPr>
      <w:framePr w:wrap="around"/>
    </w:pPr>
  </w:style>
  <w:style w:type="paragraph" w:customStyle="1" w:styleId="25">
    <w:name w:val="封面标准名称2"/>
    <w:basedOn w:val="afffff"/>
    <w:qFormat/>
    <w:pPr>
      <w:framePr w:wrap="around" w:y="4469"/>
      <w:spacing w:beforeLines="630" w:before="630"/>
    </w:pPr>
  </w:style>
  <w:style w:type="paragraph" w:customStyle="1" w:styleId="26">
    <w:name w:val="封面标准英文名称2"/>
    <w:basedOn w:val="afffff0"/>
    <w:qFormat/>
    <w:pPr>
      <w:framePr w:wrap="around" w:y="4469"/>
    </w:pPr>
  </w:style>
  <w:style w:type="paragraph" w:customStyle="1" w:styleId="27">
    <w:name w:val="封面一致性程度标识2"/>
    <w:basedOn w:val="afffff1"/>
    <w:qFormat/>
    <w:pPr>
      <w:framePr w:wrap="around" w:y="4469"/>
    </w:pPr>
  </w:style>
  <w:style w:type="paragraph" w:customStyle="1" w:styleId="28">
    <w:name w:val="封面标准文稿类别2"/>
    <w:basedOn w:val="afffff2"/>
    <w:qFormat/>
    <w:pPr>
      <w:framePr w:wrap="around" w:y="4469"/>
    </w:pPr>
  </w:style>
  <w:style w:type="paragraph" w:customStyle="1" w:styleId="29">
    <w:name w:val="封面标准文稿编辑信息2"/>
    <w:basedOn w:val="afffff3"/>
    <w:qFormat/>
    <w:pPr>
      <w:framePr w:wrap="around" w:y="4469"/>
    </w:pPr>
  </w:style>
  <w:style w:type="paragraph" w:customStyle="1" w:styleId="afffffff2">
    <w:name w:val="a"/>
    <w:basedOn w:val="aff2"/>
    <w:qFormat/>
    <w:pPr>
      <w:widowControl/>
      <w:spacing w:before="100" w:beforeAutospacing="1" w:after="100" w:afterAutospacing="1"/>
      <w:jc w:val="left"/>
    </w:pPr>
    <w:rPr>
      <w:rFonts w:ascii="宋体" w:hAnsi="宋体" w:cs="宋体"/>
      <w:kern w:val="0"/>
      <w:sz w:val="24"/>
    </w:rPr>
  </w:style>
  <w:style w:type="paragraph" w:customStyle="1" w:styleId="Bodytext231">
    <w:name w:val="Body text|231"/>
    <w:basedOn w:val="aff2"/>
    <w:link w:val="Bodytext2"/>
    <w:qFormat/>
    <w:pPr>
      <w:shd w:val="clear" w:color="auto" w:fill="FFFFFF"/>
      <w:spacing w:after="1660" w:line="206" w:lineRule="exact"/>
      <w:ind w:hanging="760"/>
    </w:pPr>
    <w:rPr>
      <w:rFonts w:ascii="PMingLiU" w:eastAsia="PMingLiU" w:hAnsi="PMingLiU" w:cs="PMingLiU"/>
      <w:spacing w:val="10"/>
      <w:sz w:val="17"/>
      <w:szCs w:val="17"/>
    </w:rPr>
  </w:style>
  <w:style w:type="character" w:customStyle="1" w:styleId="Bodytext2">
    <w:name w:val="Body text|2_"/>
    <w:link w:val="Bodytext231"/>
    <w:qFormat/>
    <w:rPr>
      <w:rFonts w:ascii="PMingLiU" w:eastAsia="PMingLiU" w:hAnsi="PMingLiU" w:cs="PMingLiU"/>
      <w:spacing w:val="10"/>
      <w:kern w:val="2"/>
      <w:sz w:val="17"/>
      <w:szCs w:val="17"/>
      <w:shd w:val="clear" w:color="auto" w:fill="FFFFFF"/>
    </w:rPr>
  </w:style>
  <w:style w:type="character" w:customStyle="1" w:styleId="1Char">
    <w:name w:val="标题 1 Char"/>
    <w:link w:val="1"/>
    <w:uiPriority w:val="99"/>
    <w:qFormat/>
    <w:rPr>
      <w:b/>
      <w:bCs/>
      <w:kern w:val="44"/>
      <w:sz w:val="44"/>
      <w:szCs w:val="44"/>
    </w:rPr>
  </w:style>
  <w:style w:type="character" w:customStyle="1" w:styleId="2Char">
    <w:name w:val="标题 2 Char"/>
    <w:link w:val="2"/>
    <w:qFormat/>
    <w:rPr>
      <w:rFonts w:ascii="Arial" w:eastAsia="黑体" w:hAnsi="Arial"/>
      <w:b/>
      <w:bCs/>
      <w:kern w:val="2"/>
      <w:sz w:val="32"/>
      <w:szCs w:val="32"/>
      <w:lang w:val="zh-CN"/>
    </w:rPr>
  </w:style>
  <w:style w:type="character" w:customStyle="1" w:styleId="3Char">
    <w:name w:val="标题 3 Char"/>
    <w:link w:val="3"/>
    <w:qFormat/>
    <w:rPr>
      <w:b/>
      <w:bCs/>
      <w:kern w:val="2"/>
      <w:sz w:val="32"/>
      <w:szCs w:val="32"/>
    </w:rPr>
  </w:style>
  <w:style w:type="character" w:customStyle="1" w:styleId="4Char">
    <w:name w:val="标题 4 Char"/>
    <w:link w:val="40"/>
    <w:uiPriority w:val="99"/>
    <w:qFormat/>
    <w:rPr>
      <w:rFonts w:ascii="Cambria" w:hAnsi="Cambria"/>
      <w:b/>
      <w:bCs/>
      <w:kern w:val="2"/>
      <w:sz w:val="28"/>
      <w:szCs w:val="28"/>
    </w:rPr>
  </w:style>
  <w:style w:type="character" w:customStyle="1" w:styleId="5Char">
    <w:name w:val="标题 5 Char"/>
    <w:link w:val="5"/>
    <w:uiPriority w:val="9"/>
    <w:qFormat/>
    <w:rPr>
      <w:b/>
      <w:bCs/>
      <w:kern w:val="2"/>
      <w:sz w:val="28"/>
      <w:szCs w:val="28"/>
    </w:rPr>
  </w:style>
  <w:style w:type="character" w:customStyle="1" w:styleId="6Char">
    <w:name w:val="标题 6 Char"/>
    <w:link w:val="6"/>
    <w:uiPriority w:val="9"/>
    <w:qFormat/>
    <w:rPr>
      <w:rFonts w:ascii="Cambria" w:hAnsi="Cambria"/>
      <w:b/>
      <w:bCs/>
      <w:kern w:val="2"/>
      <w:sz w:val="24"/>
      <w:szCs w:val="24"/>
    </w:rPr>
  </w:style>
  <w:style w:type="character" w:customStyle="1" w:styleId="7Char">
    <w:name w:val="标题 7 Char"/>
    <w:link w:val="7"/>
    <w:uiPriority w:val="9"/>
    <w:qFormat/>
    <w:rPr>
      <w:b/>
      <w:bCs/>
      <w:kern w:val="2"/>
      <w:sz w:val="24"/>
      <w:szCs w:val="24"/>
    </w:rPr>
  </w:style>
  <w:style w:type="character" w:customStyle="1" w:styleId="8Char">
    <w:name w:val="标题 8 Char"/>
    <w:link w:val="8"/>
    <w:uiPriority w:val="9"/>
    <w:qFormat/>
    <w:rPr>
      <w:rFonts w:ascii="Cambria" w:hAnsi="Cambria"/>
      <w:kern w:val="2"/>
      <w:sz w:val="24"/>
      <w:szCs w:val="24"/>
    </w:rPr>
  </w:style>
  <w:style w:type="character" w:customStyle="1" w:styleId="9Char">
    <w:name w:val="标题 9 Char"/>
    <w:link w:val="9"/>
    <w:uiPriority w:val="9"/>
    <w:qFormat/>
    <w:rPr>
      <w:rFonts w:ascii="Cambria" w:hAnsi="Cambria"/>
      <w:kern w:val="2"/>
      <w:sz w:val="21"/>
      <w:szCs w:val="21"/>
    </w:rPr>
  </w:style>
  <w:style w:type="character" w:customStyle="1" w:styleId="Bodytext29pt">
    <w:name w:val="Body text|2 + 9 pt"/>
    <w:semiHidden/>
    <w:unhideWhenUsed/>
    <w:qFormat/>
    <w:rPr>
      <w:rFonts w:ascii="PMingLiU" w:eastAsia="PMingLiU" w:hAnsi="PMingLiU" w:cs="PMingLiU"/>
      <w:color w:val="000000"/>
      <w:spacing w:val="0"/>
      <w:w w:val="100"/>
      <w:position w:val="0"/>
      <w:sz w:val="18"/>
      <w:szCs w:val="18"/>
      <w:shd w:val="clear" w:color="auto" w:fill="FFFFFF"/>
      <w:lang w:val="en-US" w:eastAsia="en-US" w:bidi="en-US"/>
    </w:rPr>
  </w:style>
  <w:style w:type="character" w:customStyle="1" w:styleId="afffffff3">
    <w:name w:val="批注文字 字符"/>
    <w:qFormat/>
    <w:rPr>
      <w:kern w:val="2"/>
      <w:sz w:val="21"/>
      <w:szCs w:val="24"/>
    </w:rPr>
  </w:style>
  <w:style w:type="character" w:customStyle="1" w:styleId="Char">
    <w:name w:val="批注文字 Char"/>
    <w:link w:val="affa"/>
    <w:uiPriority w:val="99"/>
    <w:qFormat/>
    <w:rPr>
      <w:kern w:val="2"/>
      <w:sz w:val="21"/>
      <w:szCs w:val="24"/>
    </w:rPr>
  </w:style>
  <w:style w:type="paragraph" w:customStyle="1" w:styleId="220">
    <w:name w:val="段22"/>
    <w:qFormat/>
    <w:pPr>
      <w:tabs>
        <w:tab w:val="center" w:pos="4201"/>
        <w:tab w:val="right" w:leader="dot" w:pos="9298"/>
      </w:tabs>
      <w:autoSpaceDE w:val="0"/>
      <w:autoSpaceDN w:val="0"/>
      <w:ind w:firstLineChars="200" w:firstLine="420"/>
      <w:jc w:val="both"/>
    </w:pPr>
    <w:rPr>
      <w:rFonts w:ascii="Calibri" w:hAnsi="Calibri"/>
      <w:sz w:val="21"/>
      <w:szCs w:val="22"/>
    </w:rPr>
  </w:style>
  <w:style w:type="paragraph" w:customStyle="1" w:styleId="16">
    <w:name w:val="字母编号列项（一级）16"/>
    <w:qFormat/>
    <w:pPr>
      <w:tabs>
        <w:tab w:val="left" w:pos="840"/>
      </w:tabs>
      <w:ind w:left="839" w:hanging="419"/>
      <w:jc w:val="both"/>
    </w:pPr>
    <w:rPr>
      <w:rFonts w:ascii="宋体" w:hAnsi="Calibri"/>
      <w:kern w:val="2"/>
      <w:sz w:val="21"/>
      <w:szCs w:val="22"/>
    </w:rPr>
  </w:style>
  <w:style w:type="character" w:customStyle="1" w:styleId="Char3">
    <w:name w:val="批注主题 Char"/>
    <w:link w:val="afff4"/>
    <w:qFormat/>
    <w:rPr>
      <w:b/>
      <w:bCs/>
      <w:kern w:val="2"/>
      <w:sz w:val="21"/>
      <w:szCs w:val="24"/>
    </w:rPr>
  </w:style>
  <w:style w:type="paragraph" w:customStyle="1" w:styleId="160">
    <w:name w:val="附录二级条标题16"/>
    <w:basedOn w:val="aff2"/>
    <w:next w:val="afff2"/>
    <w:qFormat/>
    <w:pPr>
      <w:tabs>
        <w:tab w:val="left" w:pos="360"/>
      </w:tabs>
      <w:wordWrap w:val="0"/>
      <w:overflowPunct w:val="0"/>
      <w:autoSpaceDE w:val="0"/>
      <w:autoSpaceDN w:val="0"/>
      <w:spacing w:beforeLines="50" w:afterLines="50"/>
      <w:textAlignment w:val="baseline"/>
      <w:outlineLvl w:val="3"/>
    </w:pPr>
    <w:rPr>
      <w:rFonts w:ascii="黑体" w:eastAsia="黑体" w:hAnsi="Calibri"/>
      <w:kern w:val="21"/>
      <w:szCs w:val="20"/>
    </w:rPr>
  </w:style>
  <w:style w:type="character" w:customStyle="1" w:styleId="Char1">
    <w:name w:val="页眉 Char"/>
    <w:link w:val="afff0"/>
    <w:qFormat/>
    <w:rPr>
      <w:kern w:val="2"/>
      <w:sz w:val="18"/>
      <w:szCs w:val="18"/>
    </w:rPr>
  </w:style>
  <w:style w:type="paragraph" w:customStyle="1" w:styleId="afffffff4">
    <w:name w:val="表格"/>
    <w:basedOn w:val="aff2"/>
    <w:link w:val="afffffff5"/>
    <w:qFormat/>
    <w:pPr>
      <w:snapToGrid w:val="0"/>
      <w:spacing w:beforeLines="20" w:before="62" w:afterLines="20" w:after="62" w:line="360" w:lineRule="auto"/>
      <w:jc w:val="center"/>
    </w:pPr>
    <w:rPr>
      <w:rFonts w:ascii="宋体" w:hAnsi="宋体"/>
      <w:sz w:val="18"/>
      <w:szCs w:val="18"/>
    </w:rPr>
  </w:style>
  <w:style w:type="paragraph" w:customStyle="1" w:styleId="110">
    <w:name w:val="表格11"/>
    <w:basedOn w:val="aff2"/>
    <w:link w:val="111"/>
    <w:qFormat/>
    <w:pPr>
      <w:jc w:val="center"/>
    </w:pPr>
    <w:rPr>
      <w:rFonts w:ascii="宋体" w:hAnsi="宋体"/>
      <w:sz w:val="18"/>
      <w:szCs w:val="18"/>
    </w:rPr>
  </w:style>
  <w:style w:type="character" w:customStyle="1" w:styleId="afffffff5">
    <w:name w:val="表格 字符"/>
    <w:basedOn w:val="aff4"/>
    <w:link w:val="afffffff4"/>
    <w:qFormat/>
    <w:rPr>
      <w:rFonts w:ascii="宋体" w:hAnsi="宋体"/>
      <w:kern w:val="2"/>
      <w:sz w:val="18"/>
      <w:szCs w:val="18"/>
    </w:rPr>
  </w:style>
  <w:style w:type="character" w:customStyle="1" w:styleId="111">
    <w:name w:val="表格11 字符"/>
    <w:basedOn w:val="aff4"/>
    <w:link w:val="110"/>
    <w:qFormat/>
    <w:rPr>
      <w:rFonts w:ascii="宋体" w:hAnsi="宋体"/>
      <w:kern w:val="2"/>
      <w:sz w:val="18"/>
      <w:szCs w:val="18"/>
    </w:rPr>
  </w:style>
  <w:style w:type="paragraph" w:customStyle="1" w:styleId="Bodytext20">
    <w:name w:val="Body text (2)"/>
    <w:basedOn w:val="aff2"/>
    <w:qFormat/>
    <w:pPr>
      <w:shd w:val="clear" w:color="auto" w:fill="FFFFFF"/>
      <w:spacing w:line="259" w:lineRule="exact"/>
      <w:ind w:hanging="380"/>
      <w:jc w:val="left"/>
    </w:pPr>
    <w:rPr>
      <w:rFonts w:ascii="Sylfaen" w:eastAsia="Sylfaen" w:hAnsi="Sylfaen" w:cs="Sylfaen"/>
      <w:kern w:val="0"/>
      <w:sz w:val="20"/>
      <w:szCs w:val="20"/>
    </w:rPr>
  </w:style>
  <w:style w:type="paragraph" w:customStyle="1" w:styleId="13">
    <w:name w:val="修订1"/>
    <w:hidden/>
    <w:uiPriority w:val="99"/>
    <w:unhideWhenUsed/>
    <w:qFormat/>
    <w:rPr>
      <w:kern w:val="2"/>
      <w:sz w:val="21"/>
      <w:szCs w:val="24"/>
    </w:rPr>
  </w:style>
  <w:style w:type="paragraph" w:customStyle="1" w:styleId="msolistparagraph0">
    <w:name w:val="msolistparagraph"/>
    <w:basedOn w:val="aff2"/>
    <w:qFormat/>
    <w:pPr>
      <w:widowControl/>
      <w:ind w:firstLine="420"/>
    </w:pPr>
    <w:rPr>
      <w:rFonts w:ascii="Calibri" w:hAnsi="Calibri"/>
      <w:kern w:val="0"/>
      <w:szCs w:val="21"/>
    </w:rPr>
  </w:style>
  <w:style w:type="paragraph" w:customStyle="1" w:styleId="2a">
    <w:name w:val="修订2"/>
    <w:hidden/>
    <w:uiPriority w:val="99"/>
    <w:unhideWhenUsed/>
    <w:qFormat/>
    <w:rPr>
      <w:kern w:val="2"/>
      <w:sz w:val="21"/>
      <w:szCs w:val="24"/>
    </w:rPr>
  </w:style>
  <w:style w:type="paragraph" w:customStyle="1" w:styleId="112">
    <w:name w:val="1 缩进段落1"/>
    <w:basedOn w:val="aff2"/>
    <w:qFormat/>
    <w:pPr>
      <w:spacing w:line="300" w:lineRule="auto"/>
      <w:ind w:firstLineChars="200" w:firstLine="480"/>
    </w:pPr>
    <w:rPr>
      <w:sz w:val="24"/>
    </w:rPr>
  </w:style>
  <w:style w:type="paragraph" w:customStyle="1" w:styleId="113">
    <w:name w:val="1 一级标题1"/>
    <w:basedOn w:val="aff2"/>
    <w:qFormat/>
    <w:pPr>
      <w:spacing w:line="300" w:lineRule="auto"/>
      <w:jc w:val="left"/>
      <w:outlineLvl w:val="2"/>
    </w:pPr>
    <w:rPr>
      <w:rFonts w:hAnsi="Arial" w:cs="Arial"/>
      <w:b/>
      <w:bCs/>
      <w:sz w:val="28"/>
      <w:szCs w:val="28"/>
    </w:rPr>
  </w:style>
  <w:style w:type="character" w:customStyle="1" w:styleId="fontstyle01">
    <w:name w:val="fontstyle01"/>
    <w:basedOn w:val="aff4"/>
    <w:qFormat/>
    <w:rPr>
      <w:rFonts w:ascii="宋体" w:eastAsia="宋体" w:hAnsi="宋体" w:cs="宋体"/>
      <w:color w:val="000000"/>
      <w:sz w:val="24"/>
      <w:szCs w:val="24"/>
    </w:rPr>
  </w:style>
  <w:style w:type="paragraph" w:styleId="afffffff6">
    <w:name w:val="List Paragraph"/>
    <w:basedOn w:val="aff2"/>
    <w:uiPriority w:val="34"/>
    <w:qFormat/>
    <w:pPr>
      <w:ind w:firstLineChars="200" w:firstLine="420"/>
    </w:pPr>
  </w:style>
  <w:style w:type="paragraph" w:styleId="afffffff7">
    <w:name w:val="Revision"/>
    <w:hidden/>
    <w:uiPriority w:val="99"/>
    <w:unhideWhenUsed/>
    <w:rsid w:val="00C831E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1.png"/><Relationship Id="rId23"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201FF8-2C72-47FF-8B91-811B12750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2610</Words>
  <Characters>14882</Characters>
  <Application>Microsoft Office Word</Application>
  <DocSecurity>0</DocSecurity>
  <Lines>124</Lines>
  <Paragraphs>34</Paragraphs>
  <ScaleCrop>false</ScaleCrop>
  <Company>Microsoft</Company>
  <LinksUpToDate>false</LinksUpToDate>
  <CharactersWithSpaces>17458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ASKA</cp:lastModifiedBy>
  <cp:revision>2</cp:revision>
  <cp:lastPrinted>2020-07-21T07:18:00Z</cp:lastPrinted>
  <dcterms:created xsi:type="dcterms:W3CDTF">2026-05-15T06:36:00Z</dcterms:created>
  <dcterms:modified xsi:type="dcterms:W3CDTF">2026-05-15T06:36:00Z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8B3BC5DB8E25457D8C5FDF535A37A222</vt:lpwstr>
  </property>
  <property fmtid="{D5CDD505-2E9C-101B-9397-08002B2CF9AE}" pid="4" name="KSOTemplateDocerSaveRecord">
    <vt:lpwstr>eyJoZGlkIjoiODRmMDhhZDZkYjg4NGI5NDkxOTI2ZDVjMDAzMTk2MWIiLCJ1c2VySWQiOiI0MzU4NjExODgifQ==</vt:lpwstr>
  </property>
</Properties>
</file>